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様式第４－①</w:t>
      </w:r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505"/>
      </w:tblGrid>
      <w:tr>
        <w:trPr/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</w:rPr>
              <w:t>　　</w:t>
            </w:r>
            <w:r>
              <w:rPr>
                <w:rFonts w:hint="default" w:ascii="ＭＳ ゴシック" w:hAnsi="ＭＳ ゴシック" w:eastAsia="ＭＳ ゴシック"/>
                <w:color w:val="auto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</w:rPr>
              <w:t>中小企業信用保険法第２条第５項第４号の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="3255" w:firstLineChars="155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kern w:val="0"/>
              </w:rPr>
              <w:t>規定による認定申請書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kern w:val="0"/>
              </w:rPr>
              <w:t xml:space="preserve">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</w:rPr>
              <w:t xml:space="preserve">          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</w:rPr>
              <w:t>令和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</w:rPr>
              <w:t>（あて先）宝達志水町長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kern w:val="0"/>
              </w:rPr>
              <w:t xml:space="preserve">                         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auto"/>
                <w:kern w:val="0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</w:rPr>
              <w:t>申請者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kern w:val="0"/>
              </w:rPr>
              <w:t xml:space="preserve">                       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auto"/>
                <w:kern w:val="0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</w:rPr>
              <w:t xml:space="preserve">        </w:t>
            </w:r>
            <w:r>
              <w:rPr>
                <w:rFonts w:hint="default" w:ascii="ＭＳ ゴシック" w:hAnsi="ＭＳ ゴシック" w:eastAsia="ＭＳ ゴシック"/>
                <w:color w:val="auto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  <w:u w:val="single" w:color="000000"/>
              </w:rPr>
              <w:t>住　所　　　　　　　　　　　　</w:t>
            </w:r>
            <w:r>
              <w:rPr>
                <w:rFonts w:hint="default" w:ascii="ＭＳ ゴシック" w:hAnsi="ＭＳ ゴシック" w:eastAsia="ＭＳ ゴシック"/>
                <w:color w:val="auto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  <w:u w:val="single" w:color="000000"/>
              </w:rPr>
              <w:t>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kern w:val="0"/>
              </w:rPr>
              <w:t xml:space="preserve">                   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auto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  <w:u w:val="single" w:color="000000"/>
              </w:rPr>
              <w:t>氏　名　　　　　　　　　　　　　　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  <w:u w:val="single" w:color="000000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105" w:firstLineChars="5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kern w:val="0"/>
              </w:rPr>
              <w:t>　私は、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  <w:u w:val="dash" w:color="000000"/>
              </w:rPr>
              <w:t>　　　　　　　　　　　　（注）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</w:rPr>
              <w:t>の発生に起因して、下記のとおり、経営の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105" w:firstLineChars="5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kern w:val="0"/>
              </w:rPr>
              <w:t>安定に支障が生じておりますので、中小企業信用保険法第２条第５項第４号の規定に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105" w:firstLineChars="5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kern w:val="0"/>
              </w:rPr>
              <w:t>基づき認定されるようお願いします。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auto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kern w:val="0"/>
              </w:rPr>
              <w:t>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kern w:val="0"/>
              </w:rPr>
              <w:t>１　事業開始年月日</w:t>
            </w:r>
            <w:r>
              <w:rPr>
                <w:rFonts w:hint="default" w:ascii="ＭＳ ゴシック" w:hAnsi="ＭＳ ゴシック" w:eastAsia="ＭＳ ゴシック"/>
                <w:color w:val="auto"/>
                <w:kern w:val="0"/>
              </w:rPr>
              <w:t xml:space="preserve">                           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</w:rPr>
              <w:t>　　　</w:t>
            </w:r>
            <w:r>
              <w:rPr>
                <w:rFonts w:hint="default" w:ascii="ＭＳ ゴシック" w:hAnsi="ＭＳ ゴシック" w:eastAsia="ＭＳ ゴシック"/>
                <w:color w:val="auto"/>
                <w:kern w:val="0"/>
              </w:rPr>
              <w:t xml:space="preserve">   </w:t>
            </w:r>
            <w:r>
              <w:rPr>
                <w:rFonts w:hint="default" w:ascii="ＭＳ ゴシック" w:hAnsi="ＭＳ ゴシック" w:eastAsia="ＭＳ ゴシック"/>
                <w:color w:val="auto"/>
                <w:kern w:val="0"/>
                <w:u w:val="single" w:color="00000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  <w:u w:val="single" w:color="000000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kern w:val="0"/>
              </w:rPr>
              <w:t>２</w:t>
            </w:r>
            <w:r>
              <w:rPr>
                <w:rFonts w:hint="default" w:ascii="ＭＳ ゴシック" w:hAnsi="ＭＳ ゴシック" w:eastAsia="ＭＳ ゴシック"/>
                <w:color w:val="auto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</w:rPr>
              <w:t>（１）売上高等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auto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</w:rPr>
              <w:t>（イ）最近１か月間の売上高等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kern w:val="0"/>
              </w:rPr>
              <w:t xml:space="preserve">                                          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</w:rPr>
              <w:t>　　　</w:t>
            </w:r>
            <w:r>
              <w:rPr>
                <w:rFonts w:hint="default" w:ascii="ＭＳ ゴシック" w:hAnsi="ＭＳ ゴシック" w:eastAsia="ＭＳ ゴシック"/>
                <w:color w:val="auto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  <w:u w:val="single" w:color="000000"/>
              </w:rPr>
              <w:t>減少率　　　　％（実績）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kern w:val="0"/>
              </w:rPr>
              <w:t xml:space="preserve">             </w:t>
            </w:r>
            <w:r>
              <w:rPr>
                <w:rFonts w:hint="default" w:ascii="ＭＳ ゴシック" w:hAnsi="ＭＳ ゴシック" w:eastAsia="ＭＳ ゴシック"/>
                <w:color w:val="auto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  <w:u w:val="single" w:color="000000"/>
              </w:rPr>
              <w:t>Ｂ－Ａ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</w:rPr>
              <w:t>Ｂ</w:t>
            </w:r>
            <w:r>
              <w:rPr>
                <w:rFonts w:hint="default" w:ascii="ＭＳ ゴシック" w:hAnsi="ＭＳ ゴシック" w:eastAsia="ＭＳ ゴシック"/>
                <w:color w:val="auto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auto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auto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</w:rPr>
              <w:t>Ａ：災害等の発生における最近１か月間の売上高等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</w:rPr>
              <w:t>　（　　　年　　　月）　　　　　　　　　　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auto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</w:rPr>
              <w:t>Ｂ：Ａの期間に対応する前年１か月間の売上高等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</w:rPr>
              <w:t>　（　　　年　　　月）　　　　　　　　　　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</w:rPr>
              <w:t>（ロ）最近３か月間の売上高等の実績見込み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kern w:val="0"/>
              </w:rPr>
              <w:t xml:space="preserve">                                     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</w:rPr>
              <w:t>　　　</w:t>
            </w:r>
            <w:r>
              <w:rPr>
                <w:rFonts w:hint="default" w:ascii="ＭＳ ゴシック" w:hAnsi="ＭＳ ゴシック" w:eastAsia="ＭＳ ゴシック"/>
                <w:color w:val="auto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  <w:u w:val="single" w:color="000000"/>
              </w:rPr>
              <w:t>減少率</w:t>
            </w:r>
            <w:r>
              <w:rPr>
                <w:rFonts w:hint="default" w:ascii="ＭＳ ゴシック" w:hAnsi="ＭＳ ゴシック" w:eastAsia="ＭＳ ゴシック"/>
                <w:color w:val="auto"/>
                <w:kern w:val="0"/>
                <w:u w:val="single" w:color="00000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  <w:u w:val="single" w:color="000000"/>
              </w:rPr>
              <w:t>％（実績見込み）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  <w:u w:val="single" w:color="000000"/>
              </w:rPr>
              <w:t>（Ｂ＋Ｄ）－（Ａ＋Ｃ）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kern w:val="0"/>
              </w:rPr>
              <w:t xml:space="preserve">                        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</w:rPr>
              <w:t>Ｂ＋Ｄ</w:t>
            </w:r>
            <w:r>
              <w:rPr>
                <w:rFonts w:hint="default" w:ascii="ＭＳ ゴシック" w:hAnsi="ＭＳ ゴシック" w:eastAsia="ＭＳ ゴシック"/>
                <w:color w:val="auto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auto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</w:rPr>
              <w:t>　Ｃ：Ａの期間後２か月間の見込み売上高等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kern w:val="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</w:rPr>
              <w:t>　　　　　（　　　年　　　月～　　　年　　　月）　</w:t>
            </w:r>
            <w:r>
              <w:rPr>
                <w:rFonts w:hint="default" w:ascii="ＭＳ ゴシック" w:hAnsi="ＭＳ ゴシック" w:eastAsia="ＭＳ ゴシック"/>
                <w:color w:val="auto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auto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</w:rPr>
              <w:t>Ｄ：Ｃの期間に対応する前年の２か月間の売上高等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</w:rPr>
              <w:t>　　　（　　　年　　　月～　　　年　　　月）　</w:t>
            </w:r>
            <w:r>
              <w:rPr>
                <w:rFonts w:hint="default" w:ascii="ＭＳ ゴシック" w:hAnsi="ＭＳ ゴシック" w:eastAsia="ＭＳ ゴシック"/>
                <w:color w:val="auto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kern w:val="0"/>
              </w:rPr>
              <w:t>３　売上高等が減少し、又は減少すると見込まれる理由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auto"/>
                <w:spacing w:val="16"/>
                <w:kern w:val="0"/>
              </w:rPr>
            </w:pPr>
          </w:p>
        </w:tc>
      </w:tr>
    </w:tbl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auto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auto"/>
          <w:kern w:val="0"/>
        </w:rPr>
        <w:t>（注）</w:t>
      </w:r>
      <w:r>
        <w:rPr>
          <w:rFonts w:hint="eastAsia" w:ascii="ＭＳ ゴシック" w:hAnsi="ＭＳ ゴシック" w:eastAsia="ＭＳ ゴシック"/>
          <w:color w:val="auto"/>
          <w:kern w:val="0"/>
          <w:u w:val="dash" w:color="000000"/>
        </w:rPr>
        <w:t>　</w:t>
      </w:r>
      <w:r>
        <w:rPr>
          <w:rFonts w:hint="eastAsia" w:ascii="ＭＳ ゴシック" w:hAnsi="ＭＳ ゴシック" w:eastAsia="ＭＳ ゴシック"/>
          <w:color w:val="auto"/>
          <w:kern w:val="0"/>
          <w:u w:val="dash" w:color="000000"/>
        </w:rPr>
        <w:t xml:space="preserve">      </w:t>
      </w:r>
      <w:r>
        <w:rPr>
          <w:rFonts w:hint="eastAsia" w:ascii="ＭＳ ゴシック" w:hAnsi="ＭＳ ゴシック" w:eastAsia="ＭＳ ゴシック"/>
          <w:color w:val="auto"/>
          <w:kern w:val="0"/>
        </w:rPr>
        <w:t>には、「災害その他突発的に生じた事由」を入れる。</w:t>
      </w:r>
    </w:p>
    <w:p>
      <w:pPr>
        <w:pStyle w:val="0"/>
        <w:suppressAutoHyphens w:val="1"/>
        <w:wordWrap w:val="0"/>
        <w:spacing w:line="246" w:lineRule="exact"/>
        <w:ind w:left="1230" w:hanging="1230"/>
        <w:jc w:val="left"/>
        <w:textAlignment w:val="baseline"/>
        <w:rPr>
          <w:rFonts w:hint="default" w:ascii="ＭＳ ゴシック" w:hAnsi="ＭＳ ゴシック" w:eastAsia="ＭＳ ゴシック"/>
          <w:color w:val="auto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auto"/>
          <w:kern w:val="0"/>
        </w:rPr>
        <w:t>（留意事項）</w:t>
      </w: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auto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auto"/>
          <w:kern w:val="0"/>
        </w:rPr>
        <w:t>　①　本認定とは別に、金融機関及び信用保証協会による金融上の審査があります。</w:t>
      </w:r>
    </w:p>
    <w:p>
      <w:pPr>
        <w:pStyle w:val="0"/>
        <w:suppressAutoHyphens w:val="1"/>
        <w:wordWrap w:val="0"/>
        <w:spacing w:line="260" w:lineRule="exact"/>
        <w:ind w:left="420" w:hanging="420" w:hangingChars="200"/>
        <w:jc w:val="left"/>
        <w:textAlignment w:val="baseline"/>
        <w:rPr>
          <w:rFonts w:hint="default" w:ascii="ＭＳ ゴシック" w:hAnsi="ＭＳ ゴシック" w:eastAsia="ＭＳ ゴシック"/>
          <w:color w:val="auto"/>
          <w:kern w:val="0"/>
        </w:rPr>
      </w:pPr>
      <w:r>
        <w:rPr>
          <w:rFonts w:hint="eastAsia" w:ascii="ＭＳ ゴシック" w:hAnsi="ＭＳ ゴシック" w:eastAsia="ＭＳ ゴシック"/>
          <w:color w:val="auto"/>
          <w:kern w:val="0"/>
        </w:rPr>
        <w:t>　②　市町村長又は特別区長から認定を受けた日から</w:t>
      </w:r>
      <w:r>
        <w:rPr>
          <w:rFonts w:hint="eastAsia" w:ascii="ＭＳ ゴシック" w:hAnsi="ＭＳ ゴシック" w:eastAsia="ＭＳ ゴシック"/>
          <w:color w:val="auto"/>
          <w:kern w:val="0"/>
        </w:rPr>
        <w:t>30</w:t>
      </w:r>
      <w:r>
        <w:rPr>
          <w:rFonts w:hint="eastAsia" w:ascii="ＭＳ ゴシック" w:hAnsi="ＭＳ ゴシック" w:eastAsia="ＭＳ ゴシック"/>
          <w:color w:val="auto"/>
          <w:kern w:val="0"/>
        </w:rPr>
        <w:t>日以内に金融機関又は信用保証協会に対して、保証の申込みを行うことが必要です。</w:t>
      </w:r>
    </w:p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default" w:ascii="ＭＳ ゴシック" w:hAnsi="ＭＳ ゴシック" w:eastAsia="ＭＳ ゴシック"/>
          <w:color w:val="auto"/>
          <w:kern w:val="0"/>
        </w:rPr>
      </w:pPr>
    </w:p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default" w:ascii="ＭＳ ゴシック" w:hAnsi="ＭＳ ゴシック" w:eastAsia="ＭＳ ゴシック"/>
          <w:color w:val="auto"/>
          <w:kern w:val="0"/>
        </w:rPr>
      </w:pPr>
    </w:p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default" w:ascii="ＭＳ ゴシック" w:hAnsi="ＭＳ ゴシック" w:eastAsia="ＭＳ ゴシック"/>
          <w:color w:val="auto"/>
          <w:kern w:val="0"/>
        </w:rPr>
      </w:pPr>
      <w:r>
        <w:rPr>
          <w:rFonts w:hint="eastAsia" w:ascii="ＭＳ ゴシック" w:hAnsi="ＭＳ ゴシック" w:eastAsia="ＭＳ ゴシック"/>
          <w:color w:val="auto"/>
          <w:kern w:val="0"/>
        </w:rPr>
        <w:t>宝商第　　　　　号</w:t>
      </w:r>
    </w:p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default" w:ascii="ＭＳ ゴシック" w:hAnsi="ＭＳ ゴシック" w:eastAsia="ＭＳ ゴシック"/>
          <w:color w:val="auto"/>
          <w:kern w:val="0"/>
        </w:rPr>
      </w:pPr>
      <w:r>
        <w:rPr>
          <w:rFonts w:hint="eastAsia" w:ascii="ＭＳ ゴシック" w:hAnsi="ＭＳ ゴシック" w:eastAsia="ＭＳ ゴシック"/>
          <w:color w:val="auto"/>
          <w:kern w:val="0"/>
        </w:rPr>
        <w:t>令和　　年　　月　　日</w:t>
      </w:r>
    </w:p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default" w:ascii="ＭＳ ゴシック" w:hAnsi="ＭＳ ゴシック" w:eastAsia="ＭＳ ゴシック"/>
          <w:color w:val="auto"/>
          <w:kern w:val="0"/>
        </w:rPr>
      </w:pPr>
      <w:r>
        <w:rPr>
          <w:rFonts w:hint="eastAsia" w:ascii="ＭＳ ゴシック" w:hAnsi="ＭＳ ゴシック" w:eastAsia="ＭＳ ゴシック"/>
          <w:color w:val="auto"/>
          <w:kern w:val="0"/>
        </w:rPr>
        <w:t>申請のとおり、相違ないことを認定します。</w:t>
      </w:r>
    </w:p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default" w:ascii="ＭＳ ゴシック" w:hAnsi="ＭＳ ゴシック" w:eastAsia="ＭＳ ゴシック"/>
          <w:color w:val="auto"/>
          <w:kern w:val="0"/>
        </w:rPr>
      </w:pPr>
      <w:r>
        <w:rPr>
          <w:rFonts w:hint="eastAsia" w:ascii="ＭＳ ゴシック" w:hAnsi="ＭＳ ゴシック" w:eastAsia="ＭＳ ゴシック"/>
          <w:color w:val="auto"/>
          <w:kern w:val="0"/>
        </w:rPr>
        <w:t>（注）信用保証協会への申込期間：令和　年　　月　　日から令和　年　　月　　日まで</w:t>
      </w:r>
    </w:p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default" w:ascii="ＭＳ ゴシック" w:hAnsi="ＭＳ ゴシック" w:eastAsia="ＭＳ ゴシック"/>
          <w:color w:val="auto"/>
          <w:kern w:val="0"/>
        </w:rPr>
      </w:pPr>
    </w:p>
    <w:p>
      <w:pPr>
        <w:pStyle w:val="0"/>
        <w:suppressAutoHyphens w:val="1"/>
        <w:wordWrap w:val="0"/>
        <w:spacing w:line="260" w:lineRule="exact"/>
        <w:jc w:val="righ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suppressAutoHyphens w:val="1"/>
        <w:wordWrap w:val="0"/>
        <w:spacing w:line="260" w:lineRule="exact"/>
        <w:ind w:right="210" w:rightChars="100"/>
        <w:jc w:val="righ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宝達志水町長　　　　　　　　　　</w:t>
      </w:r>
      <w:bookmarkStart w:id="0" w:name="_GoBack"/>
      <w:bookmarkEnd w:id="0"/>
    </w:p>
    <w:p>
      <w:pPr>
        <w:pStyle w:val="0"/>
        <w:suppressAutoHyphens w:val="1"/>
        <w:wordWrap w:val="0"/>
        <w:spacing w:line="260" w:lineRule="exact"/>
        <w:ind w:right="1050" w:rightChars="500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suppressAutoHyphens w:val="1"/>
        <w:wordWrap w:val="0"/>
        <w:spacing w:line="260" w:lineRule="exact"/>
        <w:ind w:right="1050" w:rightChars="500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suppressAutoHyphens w:val="1"/>
        <w:wordWrap w:val="0"/>
        <w:spacing w:line="260" w:lineRule="exact"/>
        <w:ind w:right="0" w:rightChars="0"/>
        <w:jc w:val="righ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0"/>
        </w:rPr>
        <w:t>〔申請書　様式第４－①－添付書類〕</w:t>
      </w: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</w:p>
    <w:p>
      <w:pPr>
        <w:pStyle w:val="0"/>
        <w:suppressAutoHyphens w:val="1"/>
        <w:wordWrap w:val="0"/>
        <w:spacing w:line="260" w:lineRule="exact"/>
        <w:ind w:right="0" w:rightChars="0"/>
        <w:jc w:val="center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32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32"/>
        </w:rPr>
        <w:t>前期及び当期売上高比較表</w:t>
      </w: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2804795</wp:posOffset>
                </wp:positionH>
                <wp:positionV relativeFrom="paragraph">
                  <wp:posOffset>141605</wp:posOffset>
                </wp:positionV>
                <wp:extent cx="0" cy="1847850"/>
                <wp:effectExtent l="635" t="0" r="29845" b="952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0" cy="18478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4;" o:spid="_x0000_s1026" o:allowincell="t" o:allowoverlap="t" filled="f" stroked="t" strokecolor="#000000 [3213]" strokeweight="0.75pt" o:spt="20" from="220.85000000000002pt,11.15pt" to="220.85000000000002pt,156.65pt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suppressAutoHyphens w:val="1"/>
        <w:wordWrap w:val="0"/>
        <w:spacing w:line="260" w:lineRule="exact"/>
        <w:ind w:right="0" w:rightChars="0"/>
        <w:jc w:val="center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前期売上高　　　　　　　　　　　　　　　　当期売上高</w:t>
      </w: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令和　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年　　月　　　　千円【Ｂ】　　　令和　年　　月　　　　千円【Ａ】</w:t>
      </w: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138430</wp:posOffset>
                </wp:positionV>
                <wp:extent cx="133350" cy="5143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33350" cy="514350"/>
                        </a:xfrm>
                        <a:prstGeom prst="rightBrac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オブジェクト 0" style="mso-wrap-distance-right:5.65pt;mso-wrap-distance-bottom:0pt;margin-top:10.9pt;mso-position-vertical-relative:text;mso-position-horizontal-relative:text;position:absolute;height:40.5pt;mso-wrap-distance-top:0pt;width:10.5pt;mso-wrap-distance-left:5.65pt;margin-left:163.1pt;z-index:2;" o:spid="_x0000_s1027" o:allowincell="t" o:allowoverlap="t" filled="f" stroked="t" strokecolor="#000000 [3213]" strokeweight="0.75pt" o:spt="88" type="#_x0000_t88" adj="1800,108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138430</wp:posOffset>
                </wp:positionV>
                <wp:extent cx="133350" cy="51435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133350" cy="514350"/>
                        </a:xfrm>
                        <a:prstGeom prst="rightBrac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オブジェクト 0" style="mso-wrap-distance-right:5.65pt;mso-wrap-distance-bottom:0pt;margin-top:10.9pt;mso-position-vertical-relative:text;mso-position-horizontal-relative:text;position:absolute;height:40.5pt;mso-wrap-distance-top:0pt;width:10.5pt;mso-wrap-distance-left:5.65pt;margin-left:387.75pt;z-index:3;" o:spid="_x0000_s1028" o:allowincell="t" o:allowoverlap="t" filled="f" stroked="t" strokecolor="#000000 [3213]" strokeweight="0.75pt" o:spt="88" type="#_x0000_t88" adj="1800,108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令和　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年　　月　　　　千円　　　　　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 xml:space="preserve"> 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令和　年　　月　　　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千円</w:t>
      </w: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　　　　　　　　　　　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 xml:space="preserve">      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【Ｄ】　　　　　　　　　　　　　　　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 xml:space="preserve"> 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【Ｃ】</w:t>
      </w: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令和　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年　　月　　　　千円　　　　　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 xml:space="preserve"> 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令和　年　　月　　　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千円</w:t>
      </w: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  <w:u w:val="single" w:color="auto"/>
        </w:rPr>
        <w:t xml:space="preserve">                                 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  <w:u w:val="none" w:color="auto"/>
        </w:rPr>
        <w:t xml:space="preserve">    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  <w:u w:val="single" w:color="auto"/>
        </w:rPr>
        <w:t xml:space="preserve">                              </w:t>
      </w: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  <w:u w:val="single" w:color="auto"/>
        </w:rPr>
        <w:t>合計　　　　　　　　　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  <w:u w:val="single" w:color="auto"/>
        </w:rPr>
        <w:t>千円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  <w:u w:val="none" w:color="auto"/>
        </w:rPr>
        <w:t>　　　　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  <w:u w:val="none" w:color="auto"/>
        </w:rPr>
        <w:t xml:space="preserve"> 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  <w:u w:val="none" w:color="auto"/>
        </w:rPr>
        <w:t>　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  <w:u w:val="single" w:color="auto"/>
        </w:rPr>
        <w:t>合計　　　　　　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  <w:u w:val="single" w:color="auto"/>
        </w:rPr>
        <w:t xml:space="preserve">  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  <w:u w:val="single" w:color="auto"/>
        </w:rPr>
        <w:t>　千円</w:t>
      </w: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減少率</w:t>
      </w: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（イ）最近１か月間の売上高等</w:t>
      </w: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　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 xml:space="preserve">  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（Ｂ－Ａ）÷Ｂ×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100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　＝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  <w:u w:val="single" w:color="auto"/>
        </w:rPr>
        <w:t>▲　　　　　　％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≧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▲２０．０％</w:t>
      </w: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  <w:u w:val="single" w:color="auto"/>
        </w:rPr>
      </w:pP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（ロ）最近３か月間の売上高等の実績見込み</w:t>
      </w:r>
    </w:p>
    <w:p>
      <w:pPr>
        <w:pStyle w:val="0"/>
        <w:suppressAutoHyphens w:val="1"/>
        <w:wordWrap w:val="0"/>
        <w:spacing w:line="260" w:lineRule="exact"/>
        <w:ind w:left="660" w:leftChars="200" w:right="0" w:rightChars="0" w:hanging="240" w:hangingChars="10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（（Ｂ＋Ｄ）－（Ａ＋Ｃ））÷（Ｂ＋Ｄ）×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100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＝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  <w:u w:val="single" w:color="auto"/>
        </w:rPr>
        <w:t>▲　　　　　　％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≧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 xml:space="preserve"> 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▲２０．０％</w:t>
      </w: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  <w:u w:val="single" w:color="auto"/>
        </w:rPr>
      </w:pP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  <w:u w:val="single" w:color="auto"/>
        </w:rPr>
      </w:pP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  <w:u w:val="none" w:color="auto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  <w:u w:val="none" w:color="auto"/>
        </w:rPr>
        <w:t>※注１．最近１か月分実績並びに以後２か月間の見込み及び前年同期分の</w:t>
      </w:r>
    </w:p>
    <w:p>
      <w:pPr>
        <w:pStyle w:val="0"/>
        <w:suppressAutoHyphens w:val="1"/>
        <w:wordWrap w:val="0"/>
        <w:spacing w:line="260" w:lineRule="exact"/>
        <w:ind w:right="0" w:rightChars="0" w:firstLine="960" w:firstLineChars="40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  <w:u w:val="none" w:color="auto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  <w:u w:val="none" w:color="auto"/>
        </w:rPr>
        <w:t>売上高を計上すること。</w:t>
      </w: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  <w:u w:val="none" w:color="auto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  <w:u w:val="none" w:color="auto"/>
        </w:rPr>
        <w:t>※注２．当該月の各試算表等の根拠資料を添付すること。</w:t>
      </w: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  <w:u w:val="single" w:color="auto"/>
        </w:rPr>
      </w:pP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  <w:u w:val="single" w:color="auto"/>
        </w:rPr>
      </w:pP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  <w:u w:val="single" w:color="auto"/>
        </w:rPr>
      </w:pP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  <w:u w:val="single" w:color="auto"/>
        </w:rPr>
      </w:pP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  <w:u w:val="single" w:color="auto"/>
        </w:rPr>
      </w:pP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  <w:u w:val="single" w:color="auto"/>
        </w:rPr>
      </w:pPr>
    </w:p>
    <w:p>
      <w:pPr>
        <w:pStyle w:val="0"/>
        <w:suppressAutoHyphens w:val="1"/>
        <w:wordWrap w:val="0"/>
        <w:spacing w:line="260" w:lineRule="exact"/>
        <w:ind w:left="0" w:leftChars="0" w:right="0" w:rightChars="0" w:firstLine="2100" w:firstLineChars="100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  <w:u w:val="none" w:color="auto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令和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　　年　　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月　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　日</w:t>
      </w:r>
    </w:p>
    <w:p>
      <w:pPr>
        <w:pStyle w:val="0"/>
        <w:suppressAutoHyphens w:val="1"/>
        <w:wordWrap w:val="0"/>
        <w:spacing w:line="260" w:lineRule="exact"/>
        <w:ind w:left="0" w:leftChars="0" w:right="0" w:rightChars="0" w:firstLine="2100" w:firstLineChars="100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  <w:u w:val="none" w:color="auto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上記のとおり相違ありません。</w:t>
      </w:r>
    </w:p>
    <w:p>
      <w:pPr>
        <w:pStyle w:val="0"/>
        <w:suppressAutoHyphens w:val="1"/>
        <w:wordWrap w:val="0"/>
        <w:spacing w:line="260" w:lineRule="exact"/>
        <w:ind w:right="840" w:rightChars="40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  <w:u w:val="none" w:color="auto"/>
        </w:rPr>
      </w:pPr>
    </w:p>
    <w:p>
      <w:pPr>
        <w:pStyle w:val="0"/>
        <w:suppressAutoHyphens w:val="1"/>
        <w:wordWrap w:val="0"/>
        <w:spacing w:line="260" w:lineRule="exact"/>
        <w:ind w:right="840" w:rightChars="400" w:firstLine="105" w:firstLineChars="5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  <w:u w:val="none" w:color="auto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 xml:space="preserve">                                 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住　　所</w:t>
      </w:r>
    </w:p>
    <w:p>
      <w:pPr>
        <w:pStyle w:val="0"/>
        <w:suppressAutoHyphens w:val="1"/>
        <w:wordWrap w:val="0"/>
        <w:spacing w:line="260" w:lineRule="exact"/>
        <w:ind w:left="0" w:leftChars="0" w:right="840" w:rightChars="400" w:firstLine="4200" w:firstLineChars="1750"/>
        <w:textAlignment w:val="baseline"/>
        <w:rPr>
          <w:rFonts w:hint="default" w:ascii="ＭＳ ゴシック" w:hAnsi="ＭＳ ゴシック" w:eastAsia="ＭＳ ゴシック"/>
          <w:color w:val="000000"/>
          <w:kern w:val="0"/>
          <w:u w:val="none" w:color="auto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会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社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名</w:t>
      </w:r>
    </w:p>
    <w:p>
      <w:pPr>
        <w:pStyle w:val="0"/>
        <w:suppressAutoHyphens w:val="1"/>
        <w:wordWrap w:val="0"/>
        <w:spacing w:line="260" w:lineRule="exact"/>
        <w:ind w:left="0" w:leftChars="0" w:right="0" w:rightChars="0" w:firstLine="4200" w:firstLineChars="1750"/>
        <w:textAlignment w:val="baseline"/>
        <w:rPr>
          <w:rFonts w:hint="default" w:ascii="ＭＳ ゴシック" w:hAnsi="ＭＳ ゴシック" w:eastAsia="ＭＳ ゴシック"/>
          <w:color w:val="000000"/>
          <w:kern w:val="0"/>
          <w:u w:val="none" w:color="auto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  <w:u w:val="single" w:color="auto"/>
        </w:rPr>
        <w:t>代表者名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  <w:u w:val="single" w:color="auto"/>
        </w:rPr>
        <w:t xml:space="preserve">                           </w:t>
      </w:r>
    </w:p>
    <w:sectPr>
      <w:pgSz w:w="11906" w:h="16838"/>
      <w:pgMar w:top="1134" w:right="1701" w:bottom="851" w:left="1701" w:header="851" w:footer="737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paragraph" w:styleId="17">
    <w:name w:val="TOC Heading"/>
    <w:basedOn w:val="1"/>
    <w:next w:val="0"/>
    <w:link w:val="0"/>
    <w:uiPriority w:val="0"/>
    <w:qFormat/>
    <w:pPr>
      <w:outlineLvl w:val="9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Placeholder Text"/>
    <w:basedOn w:val="10"/>
    <w:next w:val="24"/>
    <w:link w:val="0"/>
    <w:uiPriority w:val="0"/>
    <w:rPr>
      <w:color w:val="808080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paragraph" w:styleId="30">
    <w:name w:val="Revision"/>
    <w:next w:val="30"/>
    <w:link w:val="0"/>
    <w:uiPriority w:val="0"/>
    <w:rPr/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33">
    <w:name w:val="Date"/>
    <w:basedOn w:val="0"/>
    <w:next w:val="0"/>
    <w:link w:val="34"/>
    <w:uiPriority w:val="0"/>
    <w:rPr>
      <w:rFonts w:ascii="Century" w:hAnsi="Century" w:eastAsia="ＭＳ 明朝"/>
    </w:rPr>
  </w:style>
  <w:style w:type="character" w:styleId="34" w:customStyle="1">
    <w:name w:val="日付 (文字)"/>
    <w:basedOn w:val="10"/>
    <w:next w:val="34"/>
    <w:link w:val="33"/>
    <w:uiPriority w:val="0"/>
    <w:rPr>
      <w:rFonts w:ascii="Century" w:hAnsi="Century" w:eastAsia="ＭＳ 明朝"/>
    </w:rPr>
  </w:style>
  <w:style w:type="paragraph" w:styleId="35">
    <w:name w:val="Plain Text"/>
    <w:basedOn w:val="0"/>
    <w:next w:val="35"/>
    <w:link w:val="36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36" w:customStyle="1">
    <w:name w:val="書式なし (文字)"/>
    <w:basedOn w:val="10"/>
    <w:next w:val="36"/>
    <w:link w:val="35"/>
    <w:uiPriority w:val="0"/>
    <w:rPr>
      <w:rFonts w:ascii="ＭＳ ゴシック" w:hAnsi="ＭＳ ゴシック" w:eastAsia="ＭＳ ゴシック"/>
      <w:sz w:val="20"/>
    </w:rPr>
  </w:style>
  <w:style w:type="paragraph" w:styleId="37">
    <w:name w:val="Note Heading"/>
    <w:basedOn w:val="0"/>
    <w:next w:val="0"/>
    <w:link w:val="38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8" w:customStyle="1">
    <w:name w:val="記 (文字)"/>
    <w:basedOn w:val="10"/>
    <w:next w:val="38"/>
    <w:link w:val="37"/>
    <w:uiPriority w:val="0"/>
    <w:rPr>
      <w:rFonts w:ascii="ＭＳ ゴシック" w:hAnsi="ＭＳ ゴシック" w:eastAsia="ＭＳ ゴシック"/>
      <w:color w:val="000000"/>
      <w:kern w:val="0"/>
    </w:rPr>
  </w:style>
  <w:style w:type="paragraph" w:styleId="39">
    <w:name w:val="Closing"/>
    <w:basedOn w:val="0"/>
    <w:next w:val="39"/>
    <w:link w:val="40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40" w:customStyle="1">
    <w:name w:val="結語 (文字)"/>
    <w:basedOn w:val="10"/>
    <w:next w:val="40"/>
    <w:link w:val="39"/>
    <w:uiPriority w:val="0"/>
    <w:rPr>
      <w:rFonts w:ascii="ＭＳ ゴシック" w:hAnsi="ＭＳ ゴシック" w:eastAsia="ＭＳ ゴシック"/>
      <w:color w:val="000000"/>
      <w:kern w:val="0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table" w:styleId="43">
    <w:name w:val="Table Grid"/>
    <w:basedOn w:val="11"/>
    <w:next w:val="43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245</TotalTime>
  <Pages>2</Pages>
  <Words>5</Words>
  <Characters>853</Characters>
  <Application>JUST Note</Application>
  <Lines>101</Lines>
  <Paragraphs>62</Paragraphs>
  <Company>経済産業省</Company>
  <CharactersWithSpaces>1880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情報システム厚生課２</dc:creator>
  <cp:lastModifiedBy>北野 徳一</cp:lastModifiedBy>
  <cp:lastPrinted>2024-05-16T00:16:20Z</cp:lastPrinted>
  <dcterms:created xsi:type="dcterms:W3CDTF">2023-08-28T04:24:00Z</dcterms:created>
  <dcterms:modified xsi:type="dcterms:W3CDTF">2024-10-23T05:10:40Z</dcterms:modified>
  <cp:revision>14</cp:revision>
</cp:coreProperties>
</file>