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46" w:tblpY="-15"/>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color w:val="auto"/>
              </w:rPr>
            </w:pPr>
            <w:bookmarkStart w:id="0" w:name="_GoBack"/>
            <w:bookmarkEnd w:id="0"/>
            <w:r>
              <w:rPr>
                <w:rFonts w:hint="eastAsia" w:ascii="ＭＳ ゴシック" w:hAnsi="ＭＳ ゴシック" w:eastAsia="ＭＳ ゴシック"/>
                <w:color w:val="auto"/>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auto"/>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auto"/>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auto"/>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auto"/>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auto"/>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auto"/>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様式第５－（イ）－②　（主たる事業が指定業種の場合）</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9573"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会</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社</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single" w:color="000000"/>
              </w:rPr>
              <w:t>代表者名　　　　　　　　　　　　　　</w:t>
            </w:r>
            <w:r>
              <w:rPr>
                <w:rFonts w:hint="default" w:ascii="ＭＳ ゴシック" w:hAnsi="ＭＳ ゴシック" w:eastAsia="ＭＳ ゴシック"/>
                <w:color w:val="auto"/>
                <w:kern w:val="0"/>
                <w:u w:val="single" w:color="000000"/>
              </w:rPr>
              <w:t xml:space="preserve"> </w:t>
            </w:r>
            <w:r>
              <w:rPr>
                <w:rFonts w:hint="eastAsia" w:ascii="ＭＳ ゴシック" w:hAnsi="ＭＳ ゴシック" w:eastAsia="ＭＳ ゴシック"/>
                <w:color w:val="auto"/>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color w:val="auto"/>
                <w:spacing w:val="16"/>
              </w:rPr>
            </w:pPr>
            <w:r>
              <w:rPr>
                <w:rFonts w:hint="eastAsia" w:ascii="ＭＳ ゴシック" w:hAnsi="ＭＳ ゴシック" w:eastAsia="ＭＳ ゴシック"/>
                <w:color w:val="auto"/>
                <w:kern w:val="0"/>
              </w:rPr>
              <w:t>　私は、</w:t>
            </w:r>
            <w:r>
              <w:rPr>
                <w:rFonts w:hint="eastAsia" w:ascii="ＭＳ ゴシック" w:hAnsi="ＭＳ ゴシック" w:eastAsia="ＭＳ ゴシック"/>
                <w:color w:val="auto"/>
                <w:kern w:val="0"/>
                <w:u w:val="none" w:color="auto"/>
              </w:rPr>
              <w:t>表に記載する業</w:t>
            </w:r>
            <w:r>
              <w:rPr>
                <w:rFonts w:hint="eastAsia" w:ascii="ＭＳ ゴシック" w:hAnsi="ＭＳ ゴシック" w:eastAsia="ＭＳ ゴシック"/>
                <w:color w:val="auto"/>
                <w:kern w:val="0"/>
              </w:rPr>
              <w:t>を営んでいるが、下記のとおり、</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rPr>
              <w:t>（注</w:t>
            </w:r>
            <w:r>
              <w:rPr>
                <w:rFonts w:hint="eastAsia" w:ascii="ＭＳ ゴシック" w:hAnsi="ＭＳ ゴシック" w:eastAsia="ＭＳ ゴシック"/>
                <w:color w:val="auto"/>
                <w:kern w:val="0"/>
              </w:rPr>
              <w:t>2</w:t>
            </w:r>
            <w:r>
              <w:rPr>
                <w:rFonts w:hint="eastAsia" w:ascii="ＭＳ ゴシック" w:hAnsi="ＭＳ ゴシック" w:eastAsia="ＭＳ ゴシック"/>
                <w:color w:val="auto"/>
                <w:kern w:val="0"/>
              </w:rPr>
              <w:t>）が生じているため、経営の安定に支障が生じておりますので、中小企業信用保険法第</w:t>
            </w:r>
            <w:r>
              <w:rPr>
                <w:rFonts w:hint="eastAsia" w:ascii="ＭＳ ゴシック" w:hAnsi="ＭＳ ゴシック" w:eastAsia="ＭＳ ゴシック"/>
                <w:color w:val="auto"/>
                <w:kern w:val="0"/>
              </w:rPr>
              <w:t>2</w:t>
            </w:r>
            <w:r>
              <w:rPr>
                <w:rFonts w:hint="eastAsia" w:ascii="ＭＳ ゴシック" w:hAnsi="ＭＳ ゴシック" w:eastAsia="ＭＳ ゴシック"/>
                <w:color w:val="auto"/>
                <w:kern w:val="0"/>
              </w:rPr>
              <w:t>条第</w:t>
            </w:r>
            <w:r>
              <w:rPr>
                <w:rFonts w:hint="eastAsia" w:ascii="ＭＳ ゴシック" w:hAnsi="ＭＳ ゴシック" w:eastAsia="ＭＳ ゴシック"/>
                <w:color w:val="auto"/>
                <w:kern w:val="0"/>
              </w:rPr>
              <w:t>5</w:t>
            </w:r>
            <w:r>
              <w:rPr>
                <w:rFonts w:hint="eastAsia" w:ascii="ＭＳ ゴシック" w:hAnsi="ＭＳ ゴシック" w:eastAsia="ＭＳ ゴシック"/>
                <w:color w:val="auto"/>
                <w:kern w:val="0"/>
              </w:rPr>
              <w:t>項第</w:t>
            </w:r>
            <w:r>
              <w:rPr>
                <w:rFonts w:hint="eastAsia" w:ascii="ＭＳ ゴシック" w:hAnsi="ＭＳ ゴシック" w:eastAsia="ＭＳ ゴシック"/>
                <w:color w:val="auto"/>
                <w:kern w:val="0"/>
              </w:rPr>
              <w:t>5</w:t>
            </w:r>
            <w:r>
              <w:rPr>
                <w:rFonts w:hint="eastAsia" w:ascii="ＭＳ ゴシック" w:hAnsi="ＭＳ ゴシック" w:eastAsia="ＭＳ ゴシック"/>
                <w:color w:val="auto"/>
                <w:kern w:val="0"/>
              </w:rPr>
              <w:t>号の規定に基づき認定されるようお願いします。</w:t>
            </w:r>
          </w:p>
          <w:p>
            <w:pPr>
              <w:pStyle w:val="35"/>
              <w:jc w:val="left"/>
              <w:rPr>
                <w:rFonts w:hint="default"/>
                <w:color w:val="auto"/>
              </w:rPr>
            </w:pPr>
            <w:r>
              <w:rPr>
                <w:rFonts w:hint="eastAsia"/>
                <w:color w:val="auto"/>
              </w:rPr>
              <w:t>（表</w:t>
            </w:r>
            <w:r>
              <w:rPr>
                <w:rFonts w:hint="eastAsia"/>
                <w:color w:val="auto"/>
              </w:rPr>
              <w:t>)</w:t>
            </w:r>
          </w:p>
          <w:tbl>
            <w:tblPr>
              <w:tblStyle w:val="11"/>
              <w:tblW w:w="0" w:type="auto"/>
              <w:jc w:val="lef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jc w:val="both"/>
                    <w:textAlignment w:val="baseline"/>
                    <w:rPr>
                      <w:rFonts w:hint="default" w:ascii="ＭＳ ゴシック" w:hAnsi="ＭＳ ゴシック" w:eastAsia="ＭＳ ゴシック"/>
                      <w:color w:val="auto"/>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both"/>
                    <w:textAlignment w:val="baseline"/>
                    <w:rPr>
                      <w:rFonts w:hint="default" w:ascii="ＭＳ ゴシック" w:hAnsi="ＭＳ ゴシック" w:eastAsia="ＭＳ ゴシック"/>
                      <w:color w:val="auto"/>
                      <w:spacing w:val="16"/>
                      <w:kern w:val="0"/>
                    </w:rPr>
                  </w:pPr>
                </w:p>
              </w:tc>
              <w:tc>
                <w:tcPr>
                  <w:tcW w:w="3023" w:type="dxa"/>
                  <w:vAlign w:val="center"/>
                </w:tcPr>
                <w:p>
                  <w:pPr>
                    <w:pStyle w:val="0"/>
                    <w:suppressAutoHyphens w:val="1"/>
                    <w:kinsoku w:val="0"/>
                    <w:overflowPunct w:val="0"/>
                    <w:autoSpaceDE w:val="0"/>
                    <w:autoSpaceDN w:val="0"/>
                    <w:adjustRightInd w:val="0"/>
                    <w:jc w:val="both"/>
                    <w:textAlignment w:val="baseline"/>
                    <w:rPr>
                      <w:rFonts w:hint="default" w:ascii="ＭＳ ゴシック" w:hAnsi="ＭＳ ゴシック" w:eastAsia="ＭＳ ゴシック"/>
                      <w:color w:val="auto"/>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both"/>
                    <w:textAlignment w:val="baseline"/>
                    <w:rPr>
                      <w:rFonts w:hint="default" w:ascii="ＭＳ ゴシック" w:hAnsi="ＭＳ ゴシック" w:eastAsia="ＭＳ ゴシック"/>
                      <w:color w:val="auto"/>
                      <w:spacing w:val="16"/>
                      <w:kern w:val="0"/>
                    </w:rPr>
                  </w:pPr>
                </w:p>
              </w:tc>
              <w:tc>
                <w:tcPr>
                  <w:tcW w:w="3165" w:type="dxa"/>
                  <w:vAlign w:val="center"/>
                </w:tcPr>
                <w:p>
                  <w:pPr>
                    <w:pStyle w:val="0"/>
                    <w:suppressAutoHyphens w:val="1"/>
                    <w:kinsoku w:val="0"/>
                    <w:overflowPunct w:val="0"/>
                    <w:autoSpaceDE w:val="0"/>
                    <w:autoSpaceDN w:val="0"/>
                    <w:adjustRightInd w:val="0"/>
                    <w:jc w:val="both"/>
                    <w:textAlignment w:val="baseline"/>
                    <w:rPr>
                      <w:rFonts w:hint="default" w:ascii="ＭＳ ゴシック" w:hAnsi="ＭＳ ゴシック" w:eastAsia="ＭＳ ゴシック"/>
                      <w:color w:val="auto"/>
                      <w:spacing w:val="16"/>
                      <w:kern w:val="0"/>
                    </w:rPr>
                  </w:pPr>
                </w:p>
              </w:tc>
              <w:tc>
                <w:tcPr>
                  <w:tcW w:w="3023" w:type="dxa"/>
                  <w:vAlign w:val="center"/>
                </w:tcPr>
                <w:p>
                  <w:pPr>
                    <w:pStyle w:val="0"/>
                    <w:suppressAutoHyphens w:val="1"/>
                    <w:kinsoku w:val="0"/>
                    <w:overflowPunct w:val="0"/>
                    <w:autoSpaceDE w:val="0"/>
                    <w:autoSpaceDN w:val="0"/>
                    <w:adjustRightInd w:val="0"/>
                    <w:jc w:val="both"/>
                    <w:textAlignment w:val="baseline"/>
                    <w:rPr>
                      <w:rFonts w:hint="default" w:ascii="ＭＳ ゴシック" w:hAnsi="ＭＳ ゴシック" w:eastAsia="ＭＳ ゴシック"/>
                      <w:color w:val="auto"/>
                      <w:spacing w:val="16"/>
                      <w:kern w:val="0"/>
                    </w:rPr>
                  </w:pP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※表には営んでいる事業のうち指定業種に属するもの（日本標準産業分類の細分類番号と細分類業種名）を全て記載。当該業種が複数ある場合には、その中で、最近</w:t>
            </w:r>
            <w:r>
              <w:rPr>
                <w:rFonts w:hint="eastAsia" w:ascii="ＭＳ ゴシック" w:hAnsi="ＭＳ ゴシック" w:eastAsia="ＭＳ ゴシック"/>
                <w:color w:val="auto"/>
                <w:spacing w:val="16"/>
                <w:kern w:val="0"/>
              </w:rPr>
              <w:t>1</w:t>
            </w:r>
            <w:r>
              <w:rPr>
                <w:rFonts w:hint="eastAsia" w:ascii="ＭＳ ゴシック" w:hAnsi="ＭＳ ゴシック" w:eastAsia="ＭＳ ゴシック"/>
                <w:color w:val="auto"/>
                <w:spacing w:val="16"/>
                <w:kern w:val="0"/>
              </w:rPr>
              <w:t>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１　事業開始年月日　　　　　　　　　　　　　　</w:t>
            </w:r>
            <w:r>
              <w:rPr>
                <w:rFonts w:hint="eastAsia" w:ascii="ＭＳ ゴシック" w:hAnsi="ＭＳ ゴシック" w:eastAsia="ＭＳ ゴシック"/>
                <w:color w:val="auto"/>
                <w:spacing w:val="16"/>
                <w:kern w:val="0"/>
              </w:rPr>
              <w:t xml:space="preserve">     </w:t>
            </w:r>
            <w:r>
              <w:rPr>
                <w:rFonts w:hint="eastAsia" w:ascii="ＭＳ ゴシック" w:hAnsi="ＭＳ ゴシック" w:eastAsia="ＭＳ ゴシック"/>
                <w:color w:val="auto"/>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２</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u w:val="single" w:color="000000"/>
              </w:rPr>
              <w:t xml:space="preserve"> </w:t>
            </w:r>
            <w:r>
              <w:rPr>
                <w:rFonts w:hint="eastAsia" w:ascii="ＭＳ ゴシック" w:hAnsi="ＭＳ ゴシック" w:eastAsia="ＭＳ ゴシック"/>
                <w:color w:val="auto"/>
                <w:kern w:val="0"/>
                <w:u w:val="single" w:color="000000"/>
              </w:rPr>
              <w:t>Ｂ－Ａ</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single" w:color="000000"/>
              </w:rPr>
              <w:t>指定業種の減少率　　　</w:t>
            </w:r>
            <w:r>
              <w:rPr>
                <w:rFonts w:hint="eastAsia" w:ascii="ＭＳ ゴシック" w:hAnsi="ＭＳ ゴシック" w:eastAsia="ＭＳ ゴシック"/>
                <w:color w:val="auto"/>
                <w:kern w:val="0"/>
                <w:u w:val="single" w:color="000000"/>
              </w:rPr>
              <w:t xml:space="preserve">        </w:t>
            </w:r>
            <w:r>
              <w:rPr>
                <w:rFonts w:hint="eastAsia" w:ascii="ＭＳ ゴシック" w:hAnsi="ＭＳ ゴシック" w:eastAsia="ＭＳ ゴシック"/>
                <w:color w:val="auto"/>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Ｂ</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w:t>
            </w:r>
            <w:r>
              <w:rPr>
                <w:rFonts w:hint="default" w:ascii="ＭＳ ゴシック" w:hAnsi="ＭＳ ゴシック" w:eastAsia="ＭＳ ゴシック"/>
                <w:color w:val="auto"/>
                <w:kern w:val="0"/>
              </w:rPr>
              <w:t xml:space="preserve">100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single" w:color="auto"/>
              </w:rPr>
              <w:t>全体の減少率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u w:val="single" w:color="auto"/>
              </w:rPr>
              <w:t>最近</w:t>
            </w:r>
            <w:r>
              <w:rPr>
                <w:rFonts w:hint="eastAsia" w:ascii="ＭＳ ゴシック" w:hAnsi="ＭＳ ゴシック" w:eastAsia="ＭＳ ゴシック"/>
                <w:color w:val="auto"/>
                <w:spacing w:val="16"/>
                <w:kern w:val="0"/>
                <w:u w:val="single" w:color="auto"/>
              </w:rPr>
              <w:t>3</w:t>
            </w:r>
            <w:r>
              <w:rPr>
                <w:rFonts w:hint="eastAsia" w:ascii="ＭＳ ゴシック" w:hAnsi="ＭＳ ゴシック" w:eastAsia="ＭＳ ゴシック"/>
                <w:color w:val="auto"/>
                <w:spacing w:val="16"/>
                <w:kern w:val="0"/>
                <w:u w:val="single" w:color="auto"/>
              </w:rPr>
              <w:t>か月間における全体の売上高等に占める指定業種の売上高等の割合</w:t>
            </w:r>
            <w:r>
              <w:rPr>
                <w:rFonts w:hint="eastAsia" w:ascii="ＭＳ ゴシック" w:hAnsi="ＭＳ ゴシック" w:eastAsia="ＭＳ ゴシック"/>
                <w:color w:val="auto"/>
                <w:spacing w:val="16"/>
                <w:kern w:val="0"/>
                <w:u w:val="single" w:color="auto"/>
              </w:rPr>
              <w:t xml:space="preserve">        </w:t>
            </w:r>
            <w:r>
              <w:rPr>
                <w:rFonts w:hint="eastAsia" w:ascii="ＭＳ ゴシック" w:hAnsi="ＭＳ ゴシック" w:eastAsia="ＭＳ ゴシック"/>
                <w:color w:val="auto"/>
                <w:spacing w:val="16"/>
                <w:kern w:val="0"/>
                <w:u w:val="single" w:color="auto"/>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w:t>
            </w:r>
            <w:r>
              <w:rPr>
                <w:rFonts w:hint="eastAsia" w:ascii="ＭＳ ゴシック" w:hAnsi="ＭＳ ゴシック" w:eastAsia="ＭＳ ゴシック"/>
                <w:color w:val="auto"/>
                <w:kern w:val="0"/>
              </w:rPr>
              <w:t>3</w:t>
            </w:r>
            <w:r>
              <w:rPr>
                <w:rFonts w:hint="eastAsia" w:ascii="ＭＳ ゴシック" w:hAnsi="ＭＳ ゴシック" w:eastAsia="ＭＳ ゴシック"/>
                <w:color w:val="auto"/>
                <w:kern w:val="0"/>
              </w:rPr>
              <w:t>か月間の売上高等（　　　年　　　月～　　　年　　　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u w:val="single" w:color="auto"/>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single" w:color="auto"/>
              </w:rPr>
              <w:t>指定業種の売上高等</w:t>
            </w:r>
            <w:r>
              <w:rPr>
                <w:rFonts w:hint="eastAsia" w:ascii="ＭＳ ゴシック" w:hAnsi="ＭＳ ゴシック" w:eastAsia="ＭＳ ゴシック"/>
                <w:color w:val="auto"/>
                <w:kern w:val="0"/>
                <w:u w:val="single" w:color="auto"/>
              </w:rPr>
              <w:t xml:space="preserve">      </w:t>
            </w:r>
            <w:r>
              <w:rPr>
                <w:rFonts w:hint="eastAsia" w:ascii="ＭＳ ゴシック" w:hAnsi="ＭＳ ゴシック" w:eastAsia="ＭＳ ゴシック"/>
                <w:color w:val="auto"/>
                <w:kern w:val="0"/>
                <w:u w:val="single" w:color="auto"/>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全体の売上高等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Ｂ：Ａの期間に対応する前年の</w:t>
            </w:r>
            <w:r>
              <w:rPr>
                <w:rFonts w:hint="eastAsia" w:ascii="ＭＳ ゴシック" w:hAnsi="ＭＳ ゴシック" w:eastAsia="ＭＳ ゴシック"/>
                <w:color w:val="auto"/>
                <w:kern w:val="0"/>
              </w:rPr>
              <w:t>3</w:t>
            </w:r>
            <w:r>
              <w:rPr>
                <w:rFonts w:hint="eastAsia" w:ascii="ＭＳ ゴシック" w:hAnsi="ＭＳ ゴシック" w:eastAsia="ＭＳ ゴシック"/>
                <w:color w:val="auto"/>
                <w:kern w:val="0"/>
              </w:rPr>
              <w:t>か月間の売上高等（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年　　月～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年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u w:val="single" w:color="auto"/>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指定業種の売上高等　　　　</w:t>
            </w:r>
            <w:r>
              <w:rPr>
                <w:rFonts w:hint="eastAsia" w:ascii="ＭＳ ゴシック" w:hAnsi="ＭＳ ゴシック" w:eastAsia="ＭＳ ゴシック"/>
                <w:color w:val="auto"/>
                <w:kern w:val="0"/>
                <w:u w:val="single" w:color="auto"/>
              </w:rPr>
              <w:t xml:space="preserve">      </w:t>
            </w:r>
            <w:r>
              <w:rPr>
                <w:rFonts w:hint="eastAsia" w:ascii="ＭＳ ゴシック" w:hAnsi="ＭＳ ゴシック" w:eastAsia="ＭＳ ゴシック"/>
                <w:color w:val="auto"/>
                <w:kern w:val="0"/>
                <w:u w:val="single" w:color="auto"/>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auto"/>
              </w:rPr>
              <w:t>全体の売上高等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（注</w:t>
      </w:r>
      <w:r>
        <w:rPr>
          <w:rFonts w:hint="eastAsia" w:ascii="ＭＳ ゴシック" w:hAnsi="ＭＳ ゴシック" w:eastAsia="ＭＳ ゴシック"/>
          <w:color w:val="auto"/>
          <w:kern w:val="0"/>
        </w:rPr>
        <w:t>1</w:t>
      </w:r>
      <w:r>
        <w:rPr>
          <w:rFonts w:hint="eastAsia" w:ascii="ＭＳ ゴシック" w:hAnsi="ＭＳ ゴシック" w:eastAsia="ＭＳ ゴシック"/>
          <w:color w:val="auto"/>
          <w:kern w:val="0"/>
        </w:rPr>
        <w:t>）</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本様式は、指定業種と非指定業種を兼業している場合であって、全体の売上高等に占める指定</w:t>
      </w:r>
    </w:p>
    <w:p>
      <w:pPr>
        <w:pStyle w:val="0"/>
        <w:suppressAutoHyphens w:val="1"/>
        <w:wordWrap w:val="0"/>
        <w:spacing w:line="240" w:lineRule="exact"/>
        <w:ind w:left="630" w:leftChars="300" w:firstLine="0" w:firstLineChars="0"/>
        <w:jc w:val="left"/>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（注</w:t>
      </w:r>
      <w:r>
        <w:rPr>
          <w:rFonts w:hint="eastAsia" w:ascii="ＭＳ ゴシック" w:hAnsi="ＭＳ ゴシック" w:eastAsia="ＭＳ ゴシック"/>
          <w:color w:val="auto"/>
          <w:kern w:val="0"/>
        </w:rPr>
        <w:t>2</w:t>
      </w:r>
      <w:r>
        <w:rPr>
          <w:rFonts w:hint="eastAsia" w:ascii="ＭＳ ゴシック" w:hAnsi="ＭＳ ゴシック" w:eastAsia="ＭＳ ゴシック"/>
          <w:color w:val="auto"/>
          <w:kern w:val="0"/>
        </w:rPr>
        <w:t>）</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auto"/>
        </w:rPr>
        <w:t xml:space="preserve"> </w:t>
      </w:r>
      <w:r>
        <w:rPr>
          <w:rFonts w:hint="eastAsia" w:ascii="ＭＳ ゴシック" w:hAnsi="ＭＳ ゴシック" w:eastAsia="ＭＳ ゴシック"/>
          <w:color w:val="auto"/>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①　本認定とは別に、金融機関及び信用保証協会による金融上の審査があります。</w:t>
      </w:r>
    </w:p>
    <w:p>
      <w:pPr>
        <w:pStyle w:val="0"/>
        <w:numPr>
          <w:numId w:val="0"/>
        </w:numPr>
        <w:suppressAutoHyphens w:val="1"/>
        <w:wordWrap w:val="0"/>
        <w:spacing w:line="240" w:lineRule="exact"/>
        <w:ind w:left="0" w:leftChars="0" w:firstLine="210" w:firstLineChars="100"/>
        <w:jc w:val="left"/>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②　町長から認定を受けた日から</w:t>
      </w:r>
      <w:r>
        <w:rPr>
          <w:rFonts w:hint="eastAsia" w:ascii="ＭＳ ゴシック" w:hAnsi="ＭＳ ゴシック" w:eastAsia="ＭＳ ゴシック"/>
          <w:color w:val="auto"/>
          <w:kern w:val="0"/>
        </w:rPr>
        <w:t>30</w:t>
      </w:r>
      <w:r>
        <w:rPr>
          <w:rFonts w:hint="eastAsia" w:ascii="ＭＳ ゴシック" w:hAnsi="ＭＳ ゴシック" w:eastAsia="ＭＳ ゴシック"/>
          <w:color w:val="auto"/>
          <w:kern w:val="0"/>
        </w:rPr>
        <w:t>日以内に金融機関又は信用保証協会に対して、保証の申込みを</w:t>
      </w:r>
    </w:p>
    <w:p>
      <w:pPr>
        <w:pStyle w:val="0"/>
        <w:numPr>
          <w:numId w:val="0"/>
        </w:numPr>
        <w:suppressAutoHyphens w:val="1"/>
        <w:wordWrap w:val="0"/>
        <w:spacing w:line="240" w:lineRule="exact"/>
        <w:ind w:left="0" w:leftChars="0" w:firstLine="420" w:firstLineChars="200"/>
        <w:jc w:val="left"/>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行うことが必要です。</w:t>
      </w:r>
    </w:p>
    <w:p>
      <w:pPr>
        <w:pStyle w:val="0"/>
        <w:suppressAutoHyphens w:val="1"/>
        <w:wordWrap w:val="0"/>
        <w:spacing w:line="240" w:lineRule="exact"/>
        <w:ind w:left="210"/>
        <w:jc w:val="left"/>
        <w:textAlignment w:val="baseline"/>
        <w:rPr>
          <w:rFonts w:hint="default" w:ascii="ＭＳ ゴシック" w:hAnsi="ＭＳ ゴシック" w:eastAsia="ＭＳ ゴシック"/>
          <w:color w:val="auto"/>
          <w:kern w:val="0"/>
        </w:rPr>
      </w:pP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宝商第　　　　　号</w:t>
      </w: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令和　　年　　月　　日</w:t>
      </w: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申請のとおり、相違ないことを認定します。</w:t>
      </w: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（注）信用保証協会への申込期間：令和　　年　　月　　日から令和　　年　　月　　日まで</w:t>
      </w:r>
    </w:p>
    <w:p>
      <w:pPr>
        <w:pStyle w:val="0"/>
        <w:suppressAutoHyphens w:val="1"/>
        <w:wordWrap w:val="0"/>
        <w:spacing w:line="240" w:lineRule="exact"/>
        <w:ind w:left="0" w:leftChars="0" w:firstLineChars="0"/>
        <w:jc w:val="left"/>
        <w:textAlignment w:val="baseline"/>
        <w:rPr>
          <w:rFonts w:hint="default" w:ascii="ＭＳ ゴシック" w:hAnsi="ＭＳ ゴシック" w:eastAsia="ＭＳ ゴシック"/>
          <w:sz w:val="16"/>
        </w:rPr>
      </w:pPr>
    </w:p>
    <w:p>
      <w:pPr>
        <w:pStyle w:val="0"/>
        <w:suppressAutoHyphens w:val="1"/>
        <w:ind w:left="210"/>
        <w:jc w:val="center"/>
        <w:textAlignment w:val="baseline"/>
        <w:rPr>
          <w:rFonts w:hint="default" w:ascii="ＭＳ ゴシック" w:hAnsi="ＭＳ ゴシック" w:eastAsia="ＭＳ ゴシック"/>
          <w:kern w:val="32"/>
          <w:sz w:val="32"/>
        </w:rPr>
      </w:pPr>
      <w:r>
        <w:rPr>
          <w:rFonts w:hint="eastAsia" w:ascii="ＭＳ ゴシック" w:hAnsi="ＭＳ ゴシック" w:eastAsia="ＭＳ ゴシック"/>
          <w:kern w:val="32"/>
          <w:sz w:val="32"/>
        </w:rPr>
        <w:t>　　　　　　　　</w:t>
      </w:r>
      <w:r>
        <w:rPr>
          <w:rFonts w:hint="eastAsia" w:ascii="ＭＳ ゴシック" w:hAnsi="ＭＳ ゴシック" w:eastAsia="ＭＳ ゴシック"/>
          <w:sz w:val="22"/>
        </w:rPr>
        <w:t>宝達志水町長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p>
      <w:pPr>
        <w:pStyle w:val="0"/>
        <w:ind w:rightChars="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〔申請書（イ－②）－添付書類〕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28"/>
          <w:u w:val="double" w:color="auto"/>
        </w:rPr>
      </w:pPr>
      <w:r>
        <w:rPr>
          <w:rFonts w:hint="eastAsia" w:ascii="ＭＳ ゴシック" w:hAnsi="ＭＳ ゴシック" w:eastAsia="ＭＳ ゴシック"/>
          <w:sz w:val="28"/>
          <w:u w:val="double" w:color="auto"/>
        </w:rPr>
        <w:t>最近１年間の売上高等について</w:t>
      </w:r>
    </w:p>
    <w:p>
      <w:pPr>
        <w:pStyle w:val="0"/>
        <w:jc w:val="left"/>
        <w:rPr>
          <w:rFonts w:hint="default" w:ascii="ＭＳ ゴシック" w:hAnsi="ＭＳ ゴシック" w:eastAsia="ＭＳ ゴシック"/>
          <w:sz w:val="26"/>
        </w:rPr>
      </w:pPr>
      <w:r>
        <w:rPr>
          <w:rFonts w:hint="eastAsia" w:ascii="ＭＳ ゴシック" w:hAnsi="ＭＳ ゴシック" w:eastAsia="ＭＳ ゴシック"/>
        </w:rPr>
        <mc:AlternateContent>
          <mc:Choice Requires="wps">
            <w:drawing>
              <wp:anchor distT="0" distB="0" distL="114300" distR="114300" simplePos="0" relativeHeight="4" behindDoc="0" locked="0" layoutInCell="1" hidden="0" allowOverlap="1">
                <wp:simplePos x="0" y="0"/>
                <wp:positionH relativeFrom="column">
                  <wp:posOffset>3533775</wp:posOffset>
                </wp:positionH>
                <wp:positionV relativeFrom="paragraph">
                  <wp:posOffset>79375</wp:posOffset>
                </wp:positionV>
                <wp:extent cx="3124200" cy="421640"/>
                <wp:effectExtent l="0" t="0" r="635" b="635"/>
                <wp:wrapNone/>
                <wp:docPr id="1026" name="Rectangle 7"/>
                <a:graphic xmlns:a="http://schemas.openxmlformats.org/drawingml/2006/main">
                  <a:graphicData uri="http://schemas.microsoft.com/office/word/2010/wordprocessingShape">
                    <wps:wsp>
                      <wps:cNvPr id="1026" name="Rectangle 7"/>
                      <wps:cNvSpPr>
                        <a:spLocks noChangeArrowheads="1"/>
                      </wps:cNvSpPr>
                      <wps:spPr>
                        <a:xfrm>
                          <a:off x="0" y="0"/>
                          <a:ext cx="3124200" cy="421640"/>
                        </a:xfrm>
                        <a:prstGeom prst="rect">
                          <a:avLst/>
                        </a:prstGeom>
                        <a:solidFill>
                          <a:srgbClr val="FFFFFF"/>
                        </a:solidFill>
                        <a:ln>
                          <a:noFill/>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※別表（日本標準産業分類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細分類）の業種名を記入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（認定申請書の注２の記入内容と同じ）</w:t>
                            </w:r>
                          </w:p>
                        </w:txbxContent>
                      </wps:txbx>
                      <wps:bodyPr rot="0" vertOverflow="overflow" horzOverflow="overflow" wrap="square" lIns="74295" tIns="8890" rIns="74295" bIns="8890" anchor="t" anchorCtr="0" upright="1"/>
                    </wps:wsp>
                  </a:graphicData>
                </a:graphic>
              </wp:anchor>
            </w:drawing>
          </mc:Choice>
          <mc:Fallback>
            <w:pict>
              <v:rect id="Rectangle 7" style="mso-wrap-distance-right:9pt;mso-wrap-distance-bottom:0pt;margin-top:6.25pt;mso-position-vertical-relative:text;mso-position-horizontal-relative:text;v-text-anchor:top;position:absolute;height:33.200000000000003pt;mso-wrap-distance-top:0pt;width:246pt;mso-wrap-distance-left:9pt;margin-left:278.25pt;z-index:4;" o:spid="_x0000_s1026" o:allowincell="t" o:allowoverlap="t" filled="t" fillcolor="#fffff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※別表（日本標準産業分類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細分類）の業種名を記入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（認定申請書の注２の記入内容と同じ）</w:t>
                      </w:r>
                    </w:p>
                  </w:txbxContent>
                </v:textbox>
                <v:imagedata o:title=""/>
                <w10:wrap type="none" anchorx="text" anchory="text"/>
              </v:rect>
            </w:pict>
          </mc:Fallback>
        </mc:AlternateContent>
      </w:r>
      <w:r>
        <w:rPr>
          <w:rFonts w:hint="eastAsia"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1466850</wp:posOffset>
                </wp:positionH>
                <wp:positionV relativeFrom="paragraph">
                  <wp:posOffset>104140</wp:posOffset>
                </wp:positionV>
                <wp:extent cx="2000250" cy="316230"/>
                <wp:effectExtent l="19685" t="19685" r="29845" b="20320"/>
                <wp:wrapNone/>
                <wp:docPr id="1027" name="Rectangle 6"/>
                <a:graphic xmlns:a="http://schemas.openxmlformats.org/drawingml/2006/main">
                  <a:graphicData uri="http://schemas.microsoft.com/office/word/2010/wordprocessingShape">
                    <wps:wsp>
                      <wps:cNvPr id="1027" name="Rectangle 6"/>
                      <wps:cNvSpPr>
                        <a:spLocks noChangeArrowheads="1"/>
                      </wps:cNvSpPr>
                      <wps:spPr>
                        <a:xfrm>
                          <a:off x="0" y="0"/>
                          <a:ext cx="2000250" cy="316230"/>
                        </a:xfrm>
                        <a:prstGeom prst="rect">
                          <a:avLst/>
                        </a:prstGeom>
                        <a:solidFill>
                          <a:srgbClr val="FFFFFF"/>
                        </a:solidFill>
                        <a:ln w="38100">
                          <a:solidFill>
                            <a:srgbClr val="000000"/>
                          </a:solidFill>
                          <a:miter lim="800000"/>
                          <a:headEnd/>
                          <a:tailEnd/>
                        </a:ln>
                      </wps:spPr>
                      <wps:txbx>
                        <w:txbxContent>
                          <w:p>
                            <w:pPr>
                              <w:pStyle w:val="0"/>
                              <w:rPr>
                                <w:rFonts w:hint="default" w:ascii="ＭＳ ゴシック" w:hAnsi="ＭＳ ゴシック" w:eastAsia="ＭＳ ゴシック"/>
                              </w:rPr>
                            </w:pPr>
                          </w:p>
                        </w:txbxContent>
                      </wps:txbx>
                      <wps:bodyPr rot="0" vertOverflow="overflow" horzOverflow="overflow" wrap="square" lIns="74295" tIns="8890" rIns="74295" bIns="8890" anchor="t" anchorCtr="0" upright="1"/>
                    </wps:wsp>
                  </a:graphicData>
                </a:graphic>
              </wp:anchor>
            </w:drawing>
          </mc:Choice>
          <mc:Fallback>
            <w:pict>
              <v:rect id="Rectangle 6" style="mso-wrap-distance-right:9pt;mso-wrap-distance-bottom:0pt;margin-top:8.19pt;mso-position-vertical-relative:text;mso-position-horizontal-relative:text;v-text-anchor:top;position:absolute;height:24.9pt;mso-wrap-distance-top:0pt;width:157.5pt;mso-wrap-distance-left:9pt;margin-left:115.5pt;z-index:3;" o:spid="_x0000_s1027" o:allowincell="t" o:allowoverlap="t" filled="t" fillcolor="#ffffff" stroked="t" strokecolor="#000000" strokeweight="3pt" o:spt="1">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txbxContent>
                </v:textbox>
                <v:imagedata o:title=""/>
                <w10:wrap type="none" anchorx="text" anchory="text"/>
              </v:rect>
            </w:pict>
          </mc:Fallback>
        </mc:AlternateContent>
      </w:r>
    </w:p>
    <w:p>
      <w:pPr>
        <w:pStyle w:val="0"/>
        <w:jc w:val="left"/>
        <w:rPr>
          <w:rFonts w:hint="default" w:ascii="ＭＳ ゴシック" w:hAnsi="ＭＳ ゴシック" w:eastAsia="ＭＳ ゴシック"/>
        </w:rPr>
      </w:pPr>
      <w:r>
        <w:rPr>
          <w:rFonts w:hint="eastAsia" w:ascii="ＭＳ ゴシック" w:hAnsi="ＭＳ ゴシック" w:eastAsia="ＭＳ ゴシック"/>
        </w:rPr>
        <w:t>　当社の主たる事業は、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※業種名</w:t>
      </w:r>
      <w:r>
        <w:rPr>
          <w:rFonts w:hint="eastAsia" w:ascii="ＭＳ ゴシック" w:hAnsi="ＭＳ ゴシック" w:eastAsia="ＭＳ ゴシック"/>
          <w:spacing w:val="16"/>
          <w:kern w:val="0"/>
        </w:rPr>
        <w:t>（日本標準産業分類の細分類）</w:t>
      </w:r>
      <w:r>
        <w:rPr>
          <w:rFonts w:hint="eastAsia" w:ascii="ＭＳ ゴシック" w:hAnsi="ＭＳ ゴシック" w:eastAsia="ＭＳ ゴシック"/>
        </w:rPr>
        <w:t>を下表に記入のこと（主たる業種を太枠に記入）</w:t>
      </w:r>
    </w:p>
    <w:p>
      <w:pPr>
        <w:pStyle w:val="0"/>
        <w:jc w:val="left"/>
        <w:rPr>
          <w:rFonts w:hint="default" w:ascii="ＭＳ ゴシック" w:hAnsi="ＭＳ ゴシック" w:eastAsia="ＭＳ ゴシック"/>
        </w:rPr>
      </w:pPr>
    </w:p>
    <w:tbl>
      <w:tblPr>
        <w:tblStyle w:val="11"/>
        <w:tblW w:w="7941" w:type="dxa"/>
        <w:tblInd w:w="10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1"/>
        <w:gridCol w:w="3579"/>
        <w:gridCol w:w="1341"/>
      </w:tblGrid>
      <w:tr>
        <w:trPr>
          <w:trHeight w:val="321" w:hRule="atLeast"/>
        </w:trPr>
        <w:tc>
          <w:tcPr>
            <w:tcW w:w="3021"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業種名（産業分類の細分類）</w:t>
            </w:r>
          </w:p>
        </w:tc>
        <w:tc>
          <w:tcPr>
            <w:tcW w:w="3579"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6"/>
              </w:rPr>
            </w:pPr>
            <w:r>
              <w:rPr>
                <w:rFonts w:hint="eastAsia" w:ascii="ＭＳ ゴシック" w:hAnsi="ＭＳ ゴシック" w:eastAsia="ＭＳ ゴシック"/>
              </w:rPr>
              <w:t>最近１年間の売上高（単位：千円）</w:t>
            </w:r>
          </w:p>
        </w:tc>
        <w:tc>
          <w:tcPr>
            <w:tcW w:w="1341"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構成比（％）</w:t>
            </w:r>
          </w:p>
        </w:tc>
      </w:tr>
      <w:tr>
        <w:trPr/>
        <w:tc>
          <w:tcPr>
            <w:tcW w:w="3021" w:type="dxa"/>
            <w:tcBorders>
              <w:top w:val="single" w:color="auto" w:sz="24" w:space="0"/>
              <w:left w:val="single" w:color="auto" w:sz="24" w:space="0"/>
              <w:bottom w:val="single" w:color="auto" w:sz="24" w:space="0"/>
              <w:right w:val="single" w:color="auto" w:sz="6"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single" w:color="auto" w:sz="24" w:space="0"/>
              <w:left w:val="single" w:color="auto" w:sz="6" w:space="0"/>
              <w:bottom w:val="single" w:color="auto" w:sz="24" w:space="0"/>
              <w:right w:val="single" w:color="auto" w:sz="6"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6"/>
              </w:rPr>
            </w:pPr>
          </w:p>
        </w:tc>
        <w:tc>
          <w:tcPr>
            <w:tcW w:w="1341" w:type="dxa"/>
            <w:tcBorders>
              <w:top w:val="single" w:color="auto" w:sz="24" w:space="0"/>
              <w:left w:val="single" w:color="auto" w:sz="6" w:space="0"/>
              <w:bottom w:val="single" w:color="auto" w:sz="24" w:space="0"/>
              <w:right w:val="single" w:color="auto" w:sz="24"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sz w:val="26"/>
              </w:rPr>
            </w:pPr>
          </w:p>
        </w:tc>
      </w:tr>
      <w:tr>
        <w:trPr/>
        <w:tc>
          <w:tcPr>
            <w:tcW w:w="3021"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r>
      <w:tr>
        <w:trPr/>
        <w:tc>
          <w:tcPr>
            <w:tcW w:w="3021" w:type="dxa"/>
            <w:shd w:val="clear" w:color="auto" w:fill="auto"/>
            <w:vAlign w:val="top"/>
          </w:tcPr>
          <w:p>
            <w:pPr>
              <w:pStyle w:val="0"/>
              <w:jc w:val="left"/>
              <w:rPr>
                <w:rFonts w:hint="default" w:ascii="ＭＳ ゴシック" w:hAnsi="ＭＳ ゴシック" w:eastAsia="ＭＳ ゴシック"/>
              </w:rPr>
            </w:pPr>
          </w:p>
        </w:tc>
        <w:tc>
          <w:tcPr>
            <w:tcW w:w="3579" w:type="dxa"/>
            <w:shd w:val="clear" w:color="auto" w:fill="auto"/>
            <w:vAlign w:val="top"/>
          </w:tcPr>
          <w:p>
            <w:pPr>
              <w:pStyle w:val="0"/>
              <w:jc w:val="right"/>
              <w:rPr>
                <w:rFonts w:hint="default" w:ascii="ＭＳ ゴシック" w:hAnsi="ＭＳ ゴシック" w:eastAsia="ＭＳ ゴシック"/>
              </w:rPr>
            </w:pPr>
          </w:p>
        </w:tc>
        <w:tc>
          <w:tcPr>
            <w:tcW w:w="1341" w:type="dxa"/>
            <w:shd w:val="clear" w:color="auto" w:fill="auto"/>
            <w:vAlign w:val="top"/>
          </w:tcPr>
          <w:p>
            <w:pPr>
              <w:pStyle w:val="0"/>
              <w:jc w:val="left"/>
              <w:rPr>
                <w:rFonts w:hint="default" w:ascii="ＭＳ ゴシック" w:hAnsi="ＭＳ ゴシック" w:eastAsia="ＭＳ ゴシック"/>
              </w:rPr>
            </w:pPr>
          </w:p>
        </w:tc>
      </w:tr>
      <w:tr>
        <w:trPr/>
        <w:tc>
          <w:tcPr>
            <w:tcW w:w="3021" w:type="dxa"/>
            <w:shd w:val="clear" w:color="auto" w:fill="auto"/>
            <w:vAlign w:val="top"/>
          </w:tcPr>
          <w:p>
            <w:pPr>
              <w:pStyle w:val="0"/>
              <w:jc w:val="left"/>
              <w:rPr>
                <w:rFonts w:hint="default" w:ascii="ＭＳ ゴシック" w:hAnsi="ＭＳ ゴシック" w:eastAsia="ＭＳ ゴシック"/>
              </w:rPr>
            </w:pPr>
          </w:p>
        </w:tc>
        <w:tc>
          <w:tcPr>
            <w:tcW w:w="3579" w:type="dxa"/>
            <w:shd w:val="clear" w:color="auto" w:fill="auto"/>
            <w:vAlign w:val="top"/>
          </w:tcPr>
          <w:p>
            <w:pPr>
              <w:pStyle w:val="0"/>
              <w:jc w:val="right"/>
              <w:rPr>
                <w:rFonts w:hint="default" w:ascii="ＭＳ ゴシック" w:hAnsi="ＭＳ ゴシック" w:eastAsia="ＭＳ ゴシック"/>
              </w:rPr>
            </w:pPr>
          </w:p>
        </w:tc>
        <w:tc>
          <w:tcPr>
            <w:tcW w:w="1341" w:type="dxa"/>
            <w:shd w:val="clear" w:color="auto" w:fill="auto"/>
            <w:vAlign w:val="top"/>
          </w:tcPr>
          <w:p>
            <w:pPr>
              <w:pStyle w:val="0"/>
              <w:jc w:val="left"/>
              <w:rPr>
                <w:rFonts w:hint="default" w:ascii="ＭＳ ゴシック" w:hAnsi="ＭＳ ゴシック" w:eastAsia="ＭＳ ゴシック"/>
              </w:rPr>
            </w:pPr>
          </w:p>
        </w:tc>
      </w:tr>
      <w:tr>
        <w:trPr/>
        <w:tc>
          <w:tcPr>
            <w:tcW w:w="302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r>
      <w:tr>
        <w:trPr/>
        <w:tc>
          <w:tcPr>
            <w:tcW w:w="302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全体の売上</w:t>
            </w:r>
          </w:p>
        </w:tc>
        <w:tc>
          <w:tcPr>
            <w:tcW w:w="35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１００％</w:t>
            </w:r>
          </w:p>
        </w:tc>
      </w:tr>
    </w:tbl>
    <w:p>
      <w:pPr>
        <w:pStyle w:val="0"/>
        <w:jc w:val="left"/>
        <w:rPr>
          <w:rFonts w:hint="default" w:ascii="ＭＳ ゴシック" w:hAnsi="ＭＳ ゴシック" w:eastAsia="ＭＳ ゴシック"/>
          <w:sz w:val="26"/>
        </w:rPr>
      </w:pPr>
      <w:r>
        <w:rPr>
          <w:rFonts w:hint="eastAsia" w:ascii="ＭＳ ゴシック" w:hAnsi="ＭＳ ゴシック" w:eastAsia="ＭＳ ゴシック"/>
          <w:sz w:val="26"/>
        </w:rPr>
        <w:t>　　　　</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u w:val="double" w:color="auto"/>
        </w:rPr>
        <w:t>前期及び当期同月売上高比較表</w:t>
      </w:r>
    </w:p>
    <w:p>
      <w:pPr>
        <w:pStyle w:val="0"/>
        <w:rPr>
          <w:rFonts w:hint="default" w:ascii="ＭＳ ゴシック" w:hAnsi="ＭＳ ゴシック" w:eastAsia="ＭＳ ゴシック"/>
        </w:rPr>
      </w:pPr>
    </w:p>
    <w:p>
      <w:pPr>
        <w:pStyle w:val="0"/>
        <w:ind w:firstLine="240" w:firstLineChars="100"/>
        <w:jc w:val="right"/>
        <w:rPr>
          <w:rFonts w:hint="default" w:ascii="ＭＳ ゴシック" w:hAnsi="ＭＳ ゴシック" w:eastAsia="ＭＳ ゴシック"/>
        </w:rPr>
      </w:pPr>
      <w:r>
        <w:rPr>
          <w:rFonts w:hint="eastAsia" w:ascii="ＭＳ ゴシック" w:hAnsi="ＭＳ ゴシック" w:eastAsia="ＭＳ ゴシック"/>
          <w:sz w:val="24"/>
          <w:u w:val="single" w:color="auto"/>
        </w:rPr>
        <mc:AlternateContent>
          <mc:Choice Requires="wps">
            <w:drawing>
              <wp:anchor distT="0" distB="0" distL="114300" distR="114300" simplePos="0" relativeHeight="2" behindDoc="0" locked="0" layoutInCell="1" hidden="0" allowOverlap="1">
                <wp:simplePos x="0" y="0"/>
                <wp:positionH relativeFrom="column">
                  <wp:posOffset>3133725</wp:posOffset>
                </wp:positionH>
                <wp:positionV relativeFrom="paragraph">
                  <wp:posOffset>137795</wp:posOffset>
                </wp:positionV>
                <wp:extent cx="0" cy="2514600"/>
                <wp:effectExtent l="635" t="0" r="29845" b="9525"/>
                <wp:wrapNone/>
                <wp:docPr id="1028" name="Line 5"/>
                <a:graphic xmlns:a="http://schemas.openxmlformats.org/drawingml/2006/main">
                  <a:graphicData uri="http://schemas.microsoft.com/office/word/2010/wordprocessingShape">
                    <wps:wsp>
                      <wps:cNvPr id="1028" name="Line 5"/>
                      <wps:cNvSpPr/>
                      <wps:spPr>
                        <a:xfrm>
                          <a:off x="0" y="0"/>
                          <a:ext cx="0" cy="2514600"/>
                        </a:xfrm>
                        <a:prstGeom prst="line">
                          <a:avLst/>
                        </a:prstGeom>
                        <a:noFill/>
                        <a:ln w="9525">
                          <a:solidFill>
                            <a:srgbClr val="000000"/>
                          </a:solidFill>
                          <a:prstDash val="dash"/>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2;" o:spid="_x0000_s1028" o:allowincell="t" o:allowoverlap="t" filled="f" stroked="t" strokecolor="#000000" strokeweight="0.75pt" o:spt="20" from="246.75pt,10.850000000000001pt" to="246.75pt,208.85000000000002pt">
                <v:fill/>
                <v:stroke dashstyle="dash" filltype="solid"/>
                <v:textbox style="layout-flow:horizontal;"/>
                <v:imagedata o:title=""/>
                <w10:wrap type="none" anchorx="text" anchory="text"/>
              </v:line>
            </w:pict>
          </mc:Fallback>
        </mc:AlternateContent>
      </w:r>
      <w:r>
        <w:rPr>
          <w:rFonts w:hint="eastAsia" w:ascii="ＭＳ ゴシック" w:hAnsi="ＭＳ ゴシック" w:eastAsia="ＭＳ ゴシック"/>
        </w:rPr>
        <w:t>　（単位：千円）</w:t>
      </w:r>
    </w:p>
    <w:p>
      <w:pPr>
        <w:pStyle w:val="0"/>
        <w:ind w:firstLine="1680" w:firstLineChars="70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前期売上高</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当期売上高</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pacing w:val="106"/>
          <w:kern w:val="0"/>
          <w:sz w:val="24"/>
          <w:fitText w:val="2500" w:id="1"/>
        </w:rPr>
        <w:t>全体の売上</w:t>
      </w:r>
      <w:r>
        <w:rPr>
          <w:rFonts w:hint="eastAsia" w:ascii="ＭＳ ゴシック" w:hAnsi="ＭＳ ゴシック" w:eastAsia="ＭＳ ゴシック"/>
          <w:kern w:val="0"/>
          <w:sz w:val="24"/>
          <w:fitText w:val="2500" w:id="1"/>
        </w:rPr>
        <w:t>高</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pacing w:val="106"/>
          <w:kern w:val="0"/>
          <w:sz w:val="24"/>
          <w:fitText w:val="2500" w:id="2"/>
        </w:rPr>
        <w:t>全体の売上</w:t>
      </w:r>
      <w:r>
        <w:rPr>
          <w:rFonts w:hint="eastAsia" w:ascii="ＭＳ ゴシック" w:hAnsi="ＭＳ ゴシック" w:eastAsia="ＭＳ ゴシック"/>
          <w:kern w:val="0"/>
          <w:sz w:val="24"/>
          <w:fitText w:val="2500" w:id="2"/>
        </w:rPr>
        <w:t>高</w:t>
      </w:r>
    </w:p>
    <w:p>
      <w:pPr>
        <w:pStyle w:val="0"/>
        <w:ind w:firstLine="1200" w:firstLineChars="50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主たる業種の売上高</w:t>
      </w:r>
      <w:r>
        <w:rPr>
          <w:rFonts w:hint="eastAsia" w:ascii="ＭＳ ゴシック" w:hAnsi="ＭＳ ゴシック" w:eastAsia="ＭＳ ゴシック"/>
          <w:sz w:val="24"/>
        </w:rPr>
        <w:t>)</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主たる業種の売上高</w:t>
      </w:r>
      <w:r>
        <w:rPr>
          <w:rFonts w:hint="eastAsia" w:ascii="ＭＳ ゴシック" w:hAnsi="ＭＳ ゴシック" w:eastAsia="ＭＳ ゴシック"/>
          <w:sz w:val="24"/>
        </w:rPr>
        <w:t>)</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　　　　　　　千円）　　　　　　　　　　（　　　　　　　千円）</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　　　　　　　千円）　　　　　　　　　　（　　　　　　　千円）</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　　　　　　　千円）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　　　　　　　（　　　　　　　千円）　　　　</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合　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【Ｂ】</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合　計　【Ａ】</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　</w:t>
      </w:r>
    </w:p>
    <w:p>
      <w:pPr>
        <w:pStyle w:val="0"/>
        <w:ind w:firstLine="240" w:firstLineChars="100"/>
        <w:rPr>
          <w:rFonts w:hint="default" w:ascii="ＭＳ ゴシック" w:hAnsi="ＭＳ ゴシック" w:eastAsia="ＭＳ ゴシック"/>
          <w:sz w:val="22"/>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【ｂ】（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【ａ】（　　　　　　　千円</w:t>
      </w:r>
      <w:r>
        <w:rPr>
          <w:rFonts w:hint="eastAsia" w:ascii="ＭＳ ゴシック" w:hAnsi="ＭＳ ゴシック" w:eastAsia="ＭＳ ゴシック"/>
          <w:sz w:val="22"/>
        </w:rPr>
        <w:t>）</w:t>
      </w:r>
    </w:p>
    <w:p>
      <w:pPr>
        <w:pStyle w:val="0"/>
        <w:ind w:leftChars="0" w:firstLine="0" w:firstLineChars="0"/>
        <w:rPr>
          <w:rFonts w:hint="default" w:ascii="ＭＳ ゴシック" w:hAnsi="ＭＳ ゴシック" w:eastAsia="ＭＳ ゴシック"/>
          <w:sz w:val="25"/>
        </w:rPr>
      </w:pPr>
    </w:p>
    <w:p>
      <w:pPr>
        <w:pStyle w:val="0"/>
        <w:ind w:leftChars="0" w:firstLine="0" w:firstLineChars="0"/>
        <w:rPr>
          <w:rFonts w:hint="default" w:ascii="ＭＳ ゴシック" w:hAnsi="ＭＳ ゴシック" w:eastAsia="ＭＳ ゴシック"/>
          <w:sz w:val="21"/>
        </w:rPr>
      </w:pPr>
      <w:r>
        <w:rPr>
          <w:rFonts w:hint="eastAsia" w:ascii="ＭＳ ゴシック" w:hAnsi="ＭＳ ゴシック" w:eastAsia="ＭＳ ゴシック"/>
          <w:sz w:val="21"/>
        </w:rPr>
        <w:t>※注　括弧内には主たる業種の売上高を記入してください。</w:t>
      </w:r>
    </w:p>
    <w:p>
      <w:pPr>
        <w:pStyle w:val="0"/>
        <w:ind w:leftChars="0" w:firstLine="0" w:firstLineChars="0"/>
        <w:rPr>
          <w:rFonts w:hint="default" w:ascii="ＭＳ ゴシック" w:hAnsi="ＭＳ ゴシック" w:eastAsia="ＭＳ ゴシック"/>
          <w:sz w:val="25"/>
        </w:rPr>
      </w:pPr>
    </w:p>
    <w:p>
      <w:pPr>
        <w:pStyle w:val="0"/>
        <w:ind w:leftChars="0" w:firstLine="0" w:firstLineChars="0"/>
        <w:rPr>
          <w:rFonts w:hint="default" w:ascii="ＭＳ ゴシック" w:hAnsi="ＭＳ ゴシック" w:eastAsia="ＭＳ ゴシック"/>
          <w:sz w:val="25"/>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減少率　①主たる業種の売上高</w:t>
      </w:r>
    </w:p>
    <w:p>
      <w:pPr>
        <w:pStyle w:val="0"/>
        <w:ind w:firstLine="1100" w:firstLineChars="500"/>
        <w:rPr>
          <w:rFonts w:hint="default" w:ascii="ＭＳ ゴシック" w:hAnsi="ＭＳ ゴシック" w:eastAsia="ＭＳ ゴシック"/>
          <w:sz w:val="22"/>
        </w:rPr>
      </w:pPr>
      <w:r>
        <w:rPr>
          <w:rFonts w:hint="eastAsia" w:ascii="ＭＳ ゴシック" w:hAnsi="ＭＳ ゴシック" w:eastAsia="ＭＳ ゴシック"/>
          <w:sz w:val="22"/>
        </w:rPr>
        <w:t>（ｂ－ａ）÷ｂ×１００＝　</w:t>
      </w:r>
      <w:r>
        <w:rPr>
          <w:rFonts w:hint="eastAsia" w:ascii="ＭＳ ゴシック" w:hAnsi="ＭＳ ゴシック" w:eastAsia="ＭＳ ゴシック"/>
          <w:b w:val="1"/>
          <w:sz w:val="22"/>
          <w:u w:val="thick" w:color="auto"/>
        </w:rPr>
        <w:t>▲　　　　　％</w:t>
      </w:r>
      <w:r>
        <w:rPr>
          <w:rFonts w:hint="eastAsia" w:ascii="ＭＳ ゴシック" w:hAnsi="ＭＳ ゴシック" w:eastAsia="ＭＳ ゴシック"/>
          <w:sz w:val="22"/>
        </w:rPr>
        <w:t>　≧　▲５．０％</w:t>
      </w:r>
    </w:p>
    <w:p>
      <w:pPr>
        <w:pStyle w:val="0"/>
        <w:ind w:firstLine="880" w:firstLineChars="400"/>
        <w:rPr>
          <w:rFonts w:hint="default" w:ascii="ＭＳ ゴシック" w:hAnsi="ＭＳ ゴシック" w:eastAsia="ＭＳ ゴシック"/>
          <w:sz w:val="22"/>
        </w:rPr>
      </w:pPr>
      <w:r>
        <w:rPr>
          <w:rFonts w:hint="eastAsia" w:ascii="ＭＳ ゴシック" w:hAnsi="ＭＳ ゴシック" w:eastAsia="ＭＳ ゴシック"/>
          <w:kern w:val="0"/>
          <w:sz w:val="22"/>
        </w:rPr>
        <w:t>②全体の売上高</w:t>
      </w:r>
    </w:p>
    <w:p>
      <w:pPr>
        <w:pStyle w:val="0"/>
        <w:ind w:firstLine="1100" w:firstLineChars="500"/>
        <w:rPr>
          <w:rFonts w:hint="default" w:ascii="ＭＳ ゴシック" w:hAnsi="ＭＳ ゴシック" w:eastAsia="ＭＳ ゴシック"/>
          <w:sz w:val="22"/>
        </w:rPr>
      </w:pPr>
      <w:r>
        <w:rPr>
          <w:rFonts w:hint="eastAsia" w:ascii="ＭＳ ゴシック" w:hAnsi="ＭＳ ゴシック" w:eastAsia="ＭＳ ゴシック"/>
          <w:sz w:val="22"/>
        </w:rPr>
        <w:t>（Ｂ－</w:t>
      </w:r>
      <w:r>
        <w:rPr>
          <w:rFonts w:hint="eastAsia" w:ascii="ＭＳ ゴシック" w:hAnsi="ＭＳ ゴシック" w:eastAsia="ＭＳ ゴシック"/>
          <w:sz w:val="24"/>
        </w:rPr>
        <w:t>Ａ</w:t>
      </w:r>
      <w:r>
        <w:rPr>
          <w:rFonts w:hint="eastAsia" w:ascii="ＭＳ ゴシック" w:hAnsi="ＭＳ ゴシック" w:eastAsia="ＭＳ ゴシック"/>
          <w:sz w:val="22"/>
        </w:rPr>
        <w:t>）÷Ｂ×１００＝　</w:t>
      </w:r>
      <w:r>
        <w:rPr>
          <w:rFonts w:hint="eastAsia" w:ascii="ＭＳ ゴシック" w:hAnsi="ＭＳ ゴシック" w:eastAsia="ＭＳ ゴシック"/>
          <w:b w:val="1"/>
          <w:sz w:val="22"/>
          <w:u w:val="thick" w:color="auto"/>
        </w:rPr>
        <w:t>▲　　　　　％</w:t>
      </w:r>
      <w:r>
        <w:rPr>
          <w:rFonts w:hint="eastAsia" w:ascii="ＭＳ ゴシック" w:hAnsi="ＭＳ ゴシック" w:eastAsia="ＭＳ ゴシック"/>
          <w:sz w:val="22"/>
        </w:rPr>
        <w:t>　≧　▲５．０％</w:t>
      </w:r>
    </w:p>
    <w:p>
      <w:pPr>
        <w:pStyle w:val="0"/>
        <w:rPr>
          <w:rFonts w:hint="default" w:ascii="ＭＳ ゴシック" w:hAnsi="ＭＳ ゴシック" w:eastAsia="ＭＳ ゴシック"/>
          <w:sz w:val="25"/>
        </w:rPr>
      </w:pPr>
    </w:p>
    <w:p>
      <w:pPr>
        <w:pStyle w:val="0"/>
        <w:ind w:leftChars="0" w:firstLineChars="0"/>
        <w:rPr>
          <w:rFonts w:hint="default" w:ascii="ＭＳ ゴシック" w:hAnsi="ＭＳ ゴシック" w:eastAsia="ＭＳ ゴシック"/>
          <w:sz w:val="25"/>
        </w:rPr>
      </w:pPr>
    </w:p>
    <w:p>
      <w:pPr>
        <w:pStyle w:val="0"/>
        <w:ind w:leftChars="0" w:firstLineChars="0"/>
        <w:rPr>
          <w:rFonts w:hint="default" w:ascii="ＭＳ ゴシック" w:hAnsi="ＭＳ ゴシック" w:eastAsia="ＭＳ ゴシック"/>
          <w:sz w:val="25"/>
        </w:rPr>
      </w:pPr>
      <w:r>
        <w:rPr>
          <w:rFonts w:hint="eastAsia" w:ascii="ＭＳ ゴシック" w:hAnsi="ＭＳ ゴシック" w:eastAsia="ＭＳ ゴシック"/>
          <w:sz w:val="25"/>
        </w:rPr>
        <w:t>令和　　年　　月　　日</w:t>
      </w:r>
    </w:p>
    <w:p>
      <w:pPr>
        <w:pStyle w:val="0"/>
        <w:ind w:leftChars="0" w:firstLineChars="0"/>
        <w:rPr>
          <w:rFonts w:hint="default" w:ascii="ＭＳ ゴシック" w:hAnsi="ＭＳ ゴシック" w:eastAsia="ＭＳ ゴシック"/>
          <w:sz w:val="25"/>
        </w:rPr>
      </w:pPr>
      <w:r>
        <w:rPr>
          <w:rFonts w:hint="eastAsia" w:ascii="ＭＳ ゴシック" w:hAnsi="ＭＳ ゴシック" w:eastAsia="ＭＳ ゴシック"/>
          <w:sz w:val="25"/>
        </w:rPr>
        <w:t>上記のとおり相違ありません。</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住　　所　</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会</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社</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名　</w:t>
      </w:r>
    </w:p>
    <w:p>
      <w:pPr>
        <w:pStyle w:val="0"/>
        <w:ind w:left="945" w:leftChars="450"/>
        <w:jc w:val="left"/>
        <w:rPr>
          <w:rFonts w:hint="default" w:ascii="ＭＳ ゴシック" w:hAnsi="ＭＳ ゴシック" w:eastAsia="ＭＳ ゴシック"/>
        </w:rPr>
      </w:pP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代表者名　　　　　　　　　　　　　　</w:t>
      </w:r>
    </w:p>
    <w:sectPr>
      <w:pgSz w:w="11906" w:h="16838"/>
      <w:pgMar w:top="1021"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name w:val="List Paragraph"/>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2</Pages>
  <Words>12</Words>
  <Characters>1149</Characters>
  <Application>JUST Note</Application>
  <Lines>122</Lines>
  <Paragraphs>69</Paragraphs>
  <Company>金沢市</Company>
  <CharactersWithSpaces>2117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北野 徳一</cp:lastModifiedBy>
  <cp:lastPrinted>2014-08-30T07:06:00Z</cp:lastPrinted>
  <dcterms:created xsi:type="dcterms:W3CDTF">2019-08-28T01:42:00Z</dcterms:created>
  <dcterms:modified xsi:type="dcterms:W3CDTF">2024-10-23T05:44:18Z</dcterms:modified>
  <cp:revision>5</cp:revision>
</cp:coreProperties>
</file>