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様式第５－（イ）－⑦　（指定業種に属する事業のみを営む場合）</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代表者</w:t>
            </w:r>
            <w:r>
              <w:rPr>
                <w:rFonts w:hint="eastAsia" w:ascii="ＭＳ ゴシック" w:hAnsi="ＭＳ ゴシック" w:eastAsia="ＭＳ ゴシック"/>
                <w:kern w:val="0"/>
                <w:u w:val="single" w:color="000000"/>
              </w:rPr>
              <w:t>名　　　　　　　　　　　　　　　印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w:t>
            </w:r>
            <w:bookmarkStart w:id="0" w:name="_Hlk168662904"/>
            <w:r>
              <w:rPr>
                <w:rFonts w:hint="eastAsia" w:ascii="ＭＳ ゴシック" w:hAnsi="ＭＳ ゴシック" w:eastAsia="ＭＳ ゴシック"/>
                <w:kern w:val="0"/>
              </w:rPr>
              <w:t>私は、表に記載する業を営んでいるが、下記のとおり、下記のとおり、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（注２）が生じているため、経営の安定に支障が生じておりますので、中小企業信用保険法第２条第５項第５号の規定に基づき認定されるようお願いします。</w:t>
            </w:r>
            <w:bookmarkEnd w:id="0"/>
          </w:p>
          <w:p>
            <w:pPr>
              <w:pStyle w:val="35"/>
              <w:jc w:val="left"/>
              <w:rPr>
                <w:rFonts w:hint="default"/>
                <w:color w:val="auto"/>
              </w:rPr>
            </w:pPr>
            <w:r>
              <w:rPr>
                <w:rFonts w:hint="eastAsia"/>
                <w:color w:val="auto"/>
              </w:rPr>
              <w:t>（表</w:t>
            </w:r>
            <w:r>
              <w:rPr>
                <w:rFonts w:hint="default"/>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Ｃ－Ａ</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Ｃ</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u w:val="single" w:color="000000"/>
              </w:rPr>
            </w:pPr>
            <w:r>
              <w:rPr>
                <w:rFonts w:hint="eastAsia" w:ascii="ＭＳ ゴシック" w:hAnsi="ＭＳ ゴシック" w:eastAsia="ＭＳ ゴシック"/>
                <w:kern w:val="0"/>
              </w:rPr>
              <w:t>Ａ：申込み時点における最近１か月間の売上高等　　　　</w:t>
            </w:r>
            <w:r>
              <w:rPr>
                <w:rFonts w:hint="eastAsia" w:ascii="ＭＳ ゴシック" w:hAnsi="ＭＳ ゴシック" w:eastAsia="ＭＳ ゴシック"/>
                <w:spacing w:val="16"/>
                <w:kern w:val="0"/>
              </w:rPr>
              <w:t>　</w:t>
            </w:r>
            <w:r>
              <w:rPr>
                <w:rFonts w:hint="default" w:ascii="ＭＳ ゴシック" w:hAnsi="ＭＳ ゴシック" w:eastAsia="ＭＳ ゴシック"/>
                <w:spacing w:val="16"/>
                <w:kern w:val="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千円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Ｂ：Ａの期間前２か月間の売上高等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（Ａ＋Ｂ）</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（注１）本様式は、１つの指定業種に属する事業のみを営んでいる場合、又は営んでいる複数の事業が全て指定業種に属する場合であって、業歴３か月以上１年３か月未満の場合に使用します。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本認定とは別に、金融機関及び信用保証協会による金融上の審査があります。</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町長から認定を受けた後、本認定の有効期間内に金融機関又は信用保証協会に対して、経営安定</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関連保証の申込みを行うことが必要です。</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宝商第　　　　　号</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w:t>
      </w:r>
    </w:p>
    <w:p>
      <w:pPr>
        <w:pStyle w:val="0"/>
        <w:suppressAutoHyphens w:val="1"/>
        <w:wordWrap w:val="0"/>
        <w:spacing w:line="240" w:lineRule="exact"/>
        <w:ind w:firstLine="525" w:firstLineChars="25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申請のとおり、相違ないことを認定します。</w:t>
      </w:r>
    </w:p>
    <w:p>
      <w:pPr>
        <w:pStyle w:val="0"/>
        <w:suppressAutoHyphens w:val="1"/>
        <w:wordWrap w:val="0"/>
        <w:spacing w:line="240" w:lineRule="exact"/>
        <w:ind w:leftChars="0" w:firstLine="0" w:firstLineChars="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（注）本認定書の有効期間：令和　　年　　　月　　　日から令和　　年　　月　　　日まで</w:t>
      </w:r>
    </w:p>
    <w:p>
      <w:pPr>
        <w:pStyle w:val="0"/>
        <w:suppressAutoHyphens w:val="1"/>
        <w:wordWrap w:val="0"/>
        <w:spacing w:line="240" w:lineRule="exact"/>
        <w:ind w:leftChars="0" w:firstLine="0" w:firstLineChars="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p>
    <w:p>
      <w:pPr>
        <w:pStyle w:val="0"/>
        <w:suppressAutoHyphens w:val="1"/>
        <w:wordWrap w:val="0"/>
        <w:spacing w:line="240" w:lineRule="exact"/>
        <w:ind w:leftChars="0" w:firstLine="0" w:firstLineChars="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sz w:val="24"/>
        </w:rPr>
        <w:t>宝達志水町長　　　</w:t>
      </w:r>
      <w:bookmarkStart w:id="1" w:name="_GoBack"/>
      <w:bookmarkEnd w:id="1"/>
    </w:p>
    <w:p>
      <w:pPr>
        <w:pStyle w:val="0"/>
        <w:suppressAutoHyphens w:val="1"/>
        <w:ind w:left="210"/>
        <w:jc w:val="right"/>
        <w:textAlignment w:val="baseline"/>
        <w:rPr>
          <w:rFonts w:hint="default" w:ascii="ＭＳ ゴシック" w:hAnsi="ＭＳ ゴシック" w:eastAsia="ＭＳ ゴシック"/>
          <w:sz w:val="18"/>
        </w:rPr>
      </w:pPr>
      <w:r>
        <w:rPr>
          <w:rFonts w:hint="eastAsia" w:ascii="ＭＳ ゴシック" w:hAnsi="ＭＳ ゴシック" w:eastAsia="ＭＳ ゴシック"/>
          <w:kern w:val="32"/>
          <w:sz w:val="32"/>
        </w:rPr>
        <w:t>　</w:t>
      </w:r>
      <w:r>
        <w:rPr>
          <w:rFonts w:hint="eastAsia" w:ascii="ＭＳ ゴシック" w:hAnsi="ＭＳ ゴシック" w:eastAsia="ＭＳ ゴシック"/>
          <w:sz w:val="18"/>
        </w:rPr>
        <w:t>〔申請書　</w:t>
      </w:r>
      <w:r>
        <w:rPr>
          <w:rFonts w:hint="eastAsia" w:ascii="ＭＳ ゴシック" w:hAnsi="ＭＳ ゴシック" w:eastAsia="ＭＳ ゴシック"/>
          <w:sz w:val="18"/>
        </w:rPr>
        <w:t>(</w:t>
      </w:r>
      <w:r>
        <w:rPr>
          <w:rFonts w:hint="eastAsia" w:ascii="ＭＳ ゴシック" w:hAnsi="ＭＳ ゴシック" w:eastAsia="ＭＳ ゴシック"/>
          <w:sz w:val="18"/>
        </w:rPr>
        <w:t>イ－⑦</w:t>
      </w:r>
      <w:r>
        <w:rPr>
          <w:rFonts w:hint="eastAsia" w:ascii="ＭＳ ゴシック" w:hAnsi="ＭＳ ゴシック" w:eastAsia="ＭＳ ゴシック"/>
          <w:sz w:val="18"/>
        </w:rPr>
        <w:t>) -</w:t>
      </w:r>
      <w:r>
        <w:rPr>
          <w:rFonts w:hint="eastAsia" w:ascii="ＭＳ ゴシック" w:hAnsi="ＭＳ ゴシック" w:eastAsia="ＭＳ ゴシック"/>
          <w:sz w:val="18"/>
        </w:rPr>
        <w:t>添付書類〕</w:t>
      </w:r>
    </w:p>
    <w:p>
      <w:pPr>
        <w:pStyle w:val="35"/>
        <w:jc w:val="left"/>
        <w:rPr>
          <w:rFonts w:hint="default"/>
          <w:strike w:val="1"/>
          <w:color w:val="auto"/>
        </w:rPr>
      </w:pP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売上高比較表</w:t>
      </w:r>
    </w:p>
    <w:p>
      <w:pPr>
        <w:pStyle w:val="0"/>
        <w:rPr>
          <w:rFonts w:hint="default" w:ascii="ＭＳ ゴシック" w:hAnsi="ＭＳ ゴシック" w:eastAsia="ＭＳ ゴシック"/>
        </w:rPr>
      </w:pPr>
    </w:p>
    <w:p>
      <w:pPr>
        <w:pStyle w:val="0"/>
        <w:ind w:firstLine="210" w:firstLineChars="100"/>
        <w:jc w:val="right"/>
        <w:rPr>
          <w:rFonts w:hint="default" w:ascii="ＭＳ ゴシック" w:hAnsi="ＭＳ ゴシック" w:eastAsia="ＭＳ ゴシック"/>
          <w:sz w:val="25"/>
        </w:rPr>
      </w:pPr>
      <w:r>
        <w:rPr>
          <w:rFonts w:hint="eastAsia" w:ascii="ＭＳ ゴシック" w:hAnsi="ＭＳ ゴシック" w:eastAsia="ＭＳ ゴシック"/>
        </w:rPr>
        <w:t>　（単位：千円）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firstLine="2500" w:firstLineChars="1000"/>
        <w:rPr>
          <w:rFonts w:hint="default" w:ascii="ＭＳ ゴシック" w:hAnsi="ＭＳ ゴシック" w:eastAsia="ＭＳ ゴシック"/>
          <w:sz w:val="25"/>
        </w:rPr>
      </w:pPr>
      <w:r>
        <w:rPr>
          <w:rFonts w:hint="eastAsia" w:ascii="ＭＳ ゴシック" w:hAnsi="ＭＳ ゴシック" w:eastAsia="ＭＳ ゴシック"/>
          <w:sz w:val="25"/>
        </w:rPr>
        <mc:AlternateContent>
          <mc:Choice Requires="wps">
            <w:drawing>
              <wp:anchor distT="0" distB="0" distL="114300" distR="114300" simplePos="0" relativeHeight="2" behindDoc="0" locked="0" layoutInCell="1" hidden="0" allowOverlap="1">
                <wp:simplePos x="0" y="0"/>
                <wp:positionH relativeFrom="column">
                  <wp:posOffset>2956560</wp:posOffset>
                </wp:positionH>
                <wp:positionV relativeFrom="paragraph">
                  <wp:posOffset>78105</wp:posOffset>
                </wp:positionV>
                <wp:extent cx="152400" cy="495300"/>
                <wp:effectExtent l="635" t="635" r="31750" b="10795"/>
                <wp:wrapNone/>
                <wp:docPr id="1026" name="右中かっこ 2"/>
                <a:graphic xmlns:a="http://schemas.openxmlformats.org/drawingml/2006/main">
                  <a:graphicData uri="http://schemas.microsoft.com/office/word/2010/wordprocessingShape">
                    <wps:wsp>
                      <wps:cNvPr id="1026" name="右中かっこ 2"/>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6.15pt;mso-position-vertical-relative:text;mso-position-horizontal-relative:text;position:absolute;height:39pt;mso-wrap-distance-top:0pt;width:12pt;mso-wrap-distance-left:9pt;margin-left:232.8pt;z-index:2;" o:spid="_x0000_s1026"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w:t>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【Ｂ】</w:t>
      </w:r>
    </w:p>
    <w:p>
      <w:pPr>
        <w:pStyle w:val="0"/>
        <w:ind w:firstLine="2500" w:firstLineChars="1000"/>
        <w:rPr>
          <w:rFonts w:hint="default" w:ascii="ＭＳ ゴシック" w:hAnsi="ＭＳ ゴシック" w:eastAsia="ＭＳ ゴシック"/>
          <w:sz w:val="25"/>
        </w:rPr>
      </w:pPr>
      <w:r>
        <w:rPr>
          <w:rFonts w:hint="eastAsia" w:ascii="ＭＳ ゴシック" w:hAnsi="ＭＳ ゴシック" w:eastAsia="ＭＳ ゴシック"/>
          <w:sz w:val="25"/>
        </w:rPr>
        <w:t>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w:t>
      </w:r>
    </w:p>
    <w:p>
      <w:pPr>
        <w:pStyle w:val="0"/>
        <w:ind w:firstLine="750" w:firstLineChars="300"/>
        <w:rPr>
          <w:rFonts w:hint="default" w:ascii="ＭＳ ゴシック" w:hAnsi="ＭＳ ゴシック" w:eastAsia="ＭＳ ゴシック"/>
          <w:sz w:val="25"/>
        </w:rPr>
      </w:pPr>
      <w:r>
        <w:rPr>
          <w:rFonts w:hint="eastAsia" w:ascii="ＭＳ ゴシック" w:hAnsi="ＭＳ ゴシック" w:eastAsia="ＭＳ ゴシック"/>
          <w:sz w:val="25"/>
        </w:rPr>
        <w:t>（最近１か月）令和　　年　　月　　【Ａ】　　　　　　　千円</w:t>
      </w:r>
    </w:p>
    <w:p>
      <w:pPr>
        <w:pStyle w:val="0"/>
        <w:ind w:firstLine="250" w:firstLineChars="100"/>
        <w:rPr>
          <w:rFonts w:hint="default" w:ascii="ＭＳ ゴシック" w:hAnsi="ＭＳ ゴシック" w:eastAsia="ＭＳ ゴシック"/>
          <w:sz w:val="25"/>
          <w:u w:val="single" w:color="auto"/>
        </w:rPr>
      </w:pPr>
    </w:p>
    <w:p>
      <w:pPr>
        <w:pStyle w:val="0"/>
        <w:ind w:firstLine="4000" w:firstLineChars="1600"/>
        <w:rPr>
          <w:rFonts w:hint="default" w:ascii="ＭＳ ゴシック" w:hAnsi="ＭＳ ゴシック" w:eastAsia="ＭＳ ゴシック"/>
          <w:sz w:val="25"/>
        </w:rPr>
      </w:pPr>
      <w:r>
        <w:rPr>
          <w:rFonts w:hint="eastAsia" w:ascii="ＭＳ ゴシック" w:hAnsi="ＭＳ ゴシック" w:eastAsia="ＭＳ ゴシック"/>
          <w:sz w:val="25"/>
        </w:rPr>
        <w:t>合　計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000000"/>
        </w:rPr>
        <w:t xml:space="preserve"> </w:t>
      </w:r>
      <w:r>
        <w:rPr>
          <w:rFonts w:hint="eastAsia" w:ascii="ＭＳ ゴシック" w:hAnsi="ＭＳ ゴシック" w:eastAsia="ＭＳ ゴシック"/>
          <w:sz w:val="25"/>
          <w:u w:val="single" w:color="000000"/>
        </w:rPr>
        <w:t>　　　　　　　千円</w:t>
      </w:r>
      <w:r>
        <w:rPr>
          <w:rFonts w:hint="eastAsia" w:ascii="ＭＳ ゴシック" w:hAnsi="ＭＳ ゴシック" w:eastAsia="ＭＳ ゴシック"/>
          <w:sz w:val="25"/>
        </w:rPr>
        <w:t>　</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最近３か月平均売上高等</w:t>
      </w: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【Ｃ】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w:t>
      </w:r>
    </w:p>
    <w:p>
      <w:pPr>
        <w:pStyle w:val="0"/>
        <w:ind w:firstLine="750" w:firstLineChars="300"/>
        <w:rPr>
          <w:rFonts w:hint="default" w:ascii="ＭＳ ゴシック" w:hAnsi="ＭＳ ゴシック" w:eastAsia="ＭＳ ゴシック"/>
          <w:sz w:val="25"/>
        </w:rPr>
      </w:pPr>
      <w:r>
        <w:rPr>
          <w:rFonts w:hint="eastAsia" w:ascii="ＭＳ ゴシック" w:hAnsi="ＭＳ ゴシック" w:eastAsia="ＭＳ ゴシック"/>
          <w:sz w:val="25"/>
        </w:rPr>
        <w:t>最近１か月間の売上高等</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sz w:val="25"/>
        </w:rPr>
        <w:t>（Ｃ－Ａ）÷Ｃ×</w:t>
      </w:r>
      <w:r>
        <w:rPr>
          <w:rFonts w:hint="eastAsia" w:ascii="ＭＳ ゴシック" w:hAnsi="ＭＳ ゴシック" w:eastAsia="ＭＳ ゴシック"/>
          <w:sz w:val="25"/>
        </w:rPr>
        <w:t>100</w:t>
      </w:r>
      <w:r>
        <w:rPr>
          <w:rFonts w:hint="eastAsia" w:ascii="ＭＳ ゴシック" w:hAnsi="ＭＳ ゴシック" w:eastAsia="ＭＳ ゴシック"/>
          <w:sz w:val="25"/>
        </w:rPr>
        <w:t>　＝　</w:t>
      </w:r>
      <w:r>
        <w:rPr>
          <w:rFonts w:hint="eastAsia" w:ascii="ＭＳ ゴシック" w:hAnsi="ＭＳ ゴシック" w:eastAsia="ＭＳ ゴシック"/>
          <w:b w:val="1"/>
          <w:sz w:val="25"/>
          <w:u w:val="thick" w:color="000000"/>
        </w:rPr>
        <w:t>▲　　　　　％</w:t>
      </w:r>
      <w:r>
        <w:rPr>
          <w:rFonts w:hint="eastAsia" w:ascii="ＭＳ ゴシック" w:hAnsi="ＭＳ ゴシック" w:eastAsia="ＭＳ ゴシック"/>
          <w:sz w:val="25"/>
          <w:u w:val="thick" w:color="auto"/>
        </w:rPr>
        <w:t>　</w:t>
      </w:r>
      <w:r>
        <w:rPr>
          <w:rFonts w:hint="eastAsia" w:ascii="ＭＳ ゴシック" w:hAnsi="ＭＳ ゴシック" w:eastAsia="ＭＳ ゴシック"/>
          <w:sz w:val="25"/>
        </w:rPr>
        <w:t>≧　▲５．０％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日</w:t>
      </w: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auto"/>
        </w:rPr>
        <w:t>印　</w:t>
      </w:r>
    </w:p>
    <w:sectPr>
      <w:pgSz w:w="11906" w:h="16838"/>
      <w:pgMar w:top="794" w:right="1134" w:bottom="794"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customStyle="1">
    <w:name w:val="リスト段落1"/>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3</Words>
  <Characters>859</Characters>
  <Application>JUST Note</Application>
  <Lines>94</Lines>
  <Paragraphs>54</Paragraphs>
  <Company>金沢市</Company>
  <CharactersWithSpaces>1479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北野 徳一</cp:lastModifiedBy>
  <cp:lastPrinted>2014-08-30T07:05:00Z</cp:lastPrinted>
  <dcterms:created xsi:type="dcterms:W3CDTF">2024-06-13T07:09:00Z</dcterms:created>
  <dcterms:modified xsi:type="dcterms:W3CDTF">2024-07-02T05:37:15Z</dcterms:modified>
  <cp:revision>9</cp:revision>
</cp:coreProperties>
</file>