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様式第５－（イ）－①（指定業種に属する事業のみを営む場合）</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829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color w:val="FF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会</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社</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代表者</w:t>
            </w:r>
            <w:r>
              <w:rPr>
                <w:rFonts w:hint="eastAsia" w:ascii="ＭＳ ゴシック" w:hAnsi="ＭＳ ゴシック" w:eastAsia="ＭＳ ゴシック"/>
                <w:color w:val="000000"/>
                <w:kern w:val="0"/>
                <w:u w:val="single" w:color="000000"/>
              </w:rPr>
              <w:t>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私は、表に記載する業を営んでいるが、下記のとおり、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color w:val="FF0000"/>
                <w:kern w:val="0"/>
                <w:u w:val="single" w:color="000000"/>
              </w:rPr>
              <w:t>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（注２）が生じているため、経営の安定に支障が生じておりますので、中小企業信用保険法第２条第５項第５号の規定に基づき認定されるようお願いします。</w:t>
            </w:r>
          </w:p>
          <w:p>
            <w:pPr>
              <w:pStyle w:val="35"/>
              <w:jc w:val="left"/>
              <w:rPr>
                <w:rFonts w:hint="default"/>
                <w:color w:val="auto"/>
              </w:rPr>
            </w:pPr>
            <w:r>
              <w:rPr>
                <w:rFonts w:hint="eastAsia"/>
                <w:color w:val="auto"/>
              </w:rPr>
              <w:t>（表</w:t>
            </w:r>
            <w:r>
              <w:rPr>
                <w:rFonts w:hint="default"/>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FF0000"/>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※表には営んでいる事業が属する業種（日本標準産業分類の</w:t>
            </w:r>
            <w:r>
              <w:rPr>
                <w:rFonts w:hint="eastAsia" w:ascii="ＭＳ ゴシック" w:hAnsi="ＭＳ ゴシック" w:eastAsia="ＭＳ ゴシック"/>
                <w:spacing w:val="16"/>
                <w:kern w:val="0"/>
                <w:u w:val="single" w:color="auto"/>
              </w:rPr>
              <w:t>細分類番号</w:t>
            </w:r>
            <w:r>
              <w:rPr>
                <w:rFonts w:hint="eastAsia" w:ascii="ＭＳ ゴシック" w:hAnsi="ＭＳ ゴシック" w:eastAsia="ＭＳ ゴシック"/>
                <w:spacing w:val="16"/>
                <w:kern w:val="0"/>
              </w:rPr>
              <w:t>と</w:t>
            </w:r>
            <w:r>
              <w:rPr>
                <w:rFonts w:hint="eastAsia" w:ascii="ＭＳ ゴシック" w:hAnsi="ＭＳ ゴシック" w:eastAsia="ＭＳ ゴシック"/>
                <w:spacing w:val="16"/>
                <w:kern w:val="0"/>
                <w:u w:val="single" w:color="auto"/>
              </w:rPr>
              <w:t>細分類業種名</w:t>
            </w:r>
            <w:r>
              <w:rPr>
                <w:rFonts w:hint="eastAsia" w:ascii="ＭＳ ゴシック" w:hAnsi="ＭＳ ゴシック" w:eastAsia="ＭＳ ゴシック"/>
                <w:spacing w:val="16"/>
                <w:kern w:val="0"/>
              </w:rPr>
              <w:t>）を全て記載（当該業種は全て指定業種であることが必要）。当該業種が複数ある場合には、その中で、最近１年間で最も売上高等が大きい事業が属する業種を左上の太枠に記載。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Ｂ</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減少率　</w:t>
            </w:r>
            <w:r>
              <w:rPr>
                <w:rFonts w:hint="eastAsia" w:ascii="ＭＳ ゴシック" w:hAnsi="ＭＳ ゴシック" w:eastAsia="ＭＳ ゴシック"/>
                <w:color w:val="FF0000"/>
                <w:kern w:val="0"/>
                <w:u w:val="single" w:color="000000"/>
              </w:rPr>
              <w:t>　</w:t>
            </w:r>
            <w:r>
              <w:rPr>
                <w:rFonts w:hint="eastAsia" w:ascii="ＭＳ ゴシック" w:hAnsi="ＭＳ ゴシック" w:eastAsia="ＭＳ ゴシック"/>
                <w:color w:val="FF0000"/>
                <w:kern w:val="0"/>
                <w:u w:val="single" w:color="000000"/>
              </w:rPr>
              <w:t xml:space="preserve">    </w:t>
            </w:r>
            <w:r>
              <w:rPr>
                <w:rFonts w:hint="eastAsia" w:ascii="ＭＳ ゴシック" w:hAnsi="ＭＳ ゴシック" w:eastAsia="ＭＳ ゴシック"/>
                <w:color w:val="FF0000"/>
                <w:kern w:val="0"/>
                <w:u w:val="single" w:color="000000"/>
              </w:rPr>
              <w:t>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Ａ：申込時点における最近３か月間の売上高等</w:t>
            </w:r>
            <w:r>
              <w:rPr>
                <w:rFonts w:hint="eastAsia" w:ascii="ＭＳ ゴシック" w:hAnsi="ＭＳ ゴシック" w:eastAsia="ＭＳ ゴシック"/>
                <w:spacing w:val="16"/>
                <w:kern w:val="0"/>
              </w:rPr>
              <w:t>　</w:t>
            </w:r>
            <w:r>
              <w:rPr>
                <w:rFonts w:hint="default" w:ascii="ＭＳ ゴシック" w:hAnsi="ＭＳ ゴシック" w:eastAsia="ＭＳ ゴシック"/>
                <w:spacing w:val="16"/>
                <w:kern w:val="0"/>
              </w:rPr>
              <w:t xml:space="preserve"> </w:t>
            </w:r>
            <w:r>
              <w:rPr>
                <w:rFonts w:hint="eastAsia" w:ascii="ＭＳ ゴシック" w:hAnsi="ＭＳ ゴシック" w:eastAsia="ＭＳ ゴシック"/>
                <w:spacing w:val="16"/>
                <w:kern w:val="0"/>
              </w:rPr>
              <w:t>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color w:val="FF0000"/>
                <w:kern w:val="0"/>
                <w:u w:val="single" w:color="000000"/>
              </w:rPr>
              <w:t>　　　　　　　　　　　</w:t>
            </w:r>
            <w:r>
              <w:rPr>
                <w:rFonts w:hint="eastAsia" w:ascii="ＭＳ ゴシック" w:hAnsi="ＭＳ ゴシック" w:eastAsia="ＭＳ ゴシック"/>
                <w:color w:val="000000"/>
                <w:kern w:val="0"/>
                <w:u w:val="single" w:color="000000"/>
              </w:rPr>
              <w:t>千</w:t>
            </w:r>
            <w:r>
              <w:rPr>
                <w:rFonts w:hint="eastAsia" w:ascii="ＭＳ ゴシック" w:hAnsi="ＭＳ ゴシック" w:eastAsia="ＭＳ ゴシック"/>
                <w:kern w:val="0"/>
                <w:u w:val="single" w:color="000000"/>
              </w:rPr>
              <w:t>円</w:t>
            </w:r>
            <w:r>
              <w:rPr>
                <w:rFonts w:hint="eastAsia" w:ascii="ＭＳ ゴシック" w:hAnsi="ＭＳ ゴシック" w:eastAsia="ＭＳ ゴシック"/>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Ｂ：Ａの期間に対応する前年の３か月間の売上高等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color w:val="FF0000"/>
                <w:kern w:val="0"/>
                <w:u w:val="single" w:color="000000"/>
              </w:rPr>
              <w:t>　　　　　　　　　　　</w:t>
            </w:r>
            <w:r>
              <w:rPr>
                <w:rFonts w:hint="eastAsia" w:ascii="ＭＳ ゴシック" w:hAnsi="ＭＳ ゴシック" w:eastAsia="ＭＳ ゴシック"/>
                <w:color w:val="000000"/>
                <w:kern w:val="0"/>
                <w:u w:val="single" w:color="000000"/>
              </w:rPr>
              <w:t>千</w:t>
            </w:r>
            <w:r>
              <w:rPr>
                <w:rFonts w:hint="eastAsia" w:ascii="ＭＳ ゴシック" w:hAnsi="ＭＳ ゴシック" w:eastAsia="ＭＳ ゴシック"/>
                <w:kern w:val="0"/>
                <w:u w:val="single" w:color="000000"/>
              </w:rPr>
              <w:t>円</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　本認定とは別に、金融機関及び信用保証協会による金融上の審査があります。</w:t>
      </w:r>
    </w:p>
    <w:p>
      <w:pPr>
        <w:pStyle w:val="0"/>
        <w:numPr>
          <w:numId w:val="0"/>
        </w:numPr>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　町長から認定を受けた後、本認定の有効期間内に金融機関又は信用保証協会に対して、経営安定</w:t>
      </w:r>
    </w:p>
    <w:p>
      <w:pPr>
        <w:pStyle w:val="0"/>
        <w:numPr>
          <w:numId w:val="0"/>
        </w:numPr>
        <w:suppressAutoHyphens w:val="1"/>
        <w:wordWrap w:val="0"/>
        <w:spacing w:line="240" w:lineRule="exact"/>
        <w:ind w:left="0" w:leftChars="0" w:firstLine="630" w:firstLineChars="3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関連保証の申込みを行うことが必要です。</w:t>
      </w:r>
    </w:p>
    <w:p>
      <w:pPr>
        <w:pStyle w:val="0"/>
        <w:suppressAutoHyphens w:val="1"/>
        <w:wordWrap w:val="0"/>
        <w:spacing w:line="240" w:lineRule="exact"/>
        <w:ind w:left="210"/>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210"/>
        <w:jc w:val="left"/>
        <w:textAlignment w:val="baseline"/>
        <w:rPr>
          <w:rFonts w:hint="default" w:ascii="ＭＳ ゴシック" w:hAnsi="ＭＳ ゴシック" w:eastAsia="ＭＳ ゴシック"/>
          <w:kern w:val="0"/>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宝商第　　　　　号</w:t>
      </w:r>
    </w:p>
    <w:p>
      <w:pPr>
        <w:pStyle w:val="0"/>
        <w:jc w:val="lef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eastAsia" w:ascii="ＭＳ ゴシック" w:hAnsi="ＭＳ ゴシック" w:eastAsia="ＭＳ ゴシック"/>
        </w:rPr>
        <w:t>（注）本認定書の有効期間：令和　　年　　月　　日から令和　　年　　月　　日まで</w:t>
      </w:r>
    </w:p>
    <w:p>
      <w:pPr>
        <w:pStyle w:val="0"/>
        <w:suppressAutoHyphens w:val="1"/>
        <w:wordWrap w:val="0"/>
        <w:spacing w:line="240" w:lineRule="exact"/>
        <w:ind w:left="210"/>
        <w:jc w:val="left"/>
        <w:textAlignment w:val="baseline"/>
        <w:rPr>
          <w:rFonts w:hint="default" w:ascii="ＭＳ ゴシック" w:hAnsi="ＭＳ ゴシック" w:eastAsia="ＭＳ ゴシック"/>
          <w:sz w:val="32"/>
        </w:rPr>
      </w:pPr>
    </w:p>
    <w:p>
      <w:pPr>
        <w:pStyle w:val="0"/>
        <w:suppressAutoHyphens w:val="1"/>
        <w:wordWrap w:val="0"/>
        <w:spacing w:line="240" w:lineRule="exact"/>
        <w:ind w:left="210"/>
        <w:jc w:val="left"/>
        <w:textAlignment w:val="baseline"/>
        <w:rPr>
          <w:rFonts w:hint="default" w:ascii="ＭＳ ゴシック" w:hAnsi="ＭＳ ゴシック" w:eastAsia="ＭＳ ゴシック"/>
          <w:sz w:val="32"/>
        </w:rPr>
      </w:pPr>
    </w:p>
    <w:p>
      <w:pPr>
        <w:pStyle w:val="0"/>
        <w:suppressAutoHyphens w:val="1"/>
        <w:ind w:left="210" w:leftChars="0" w:firstLine="5520" w:firstLineChars="2300"/>
        <w:textAlignment w:val="baseline"/>
        <w:rPr>
          <w:rFonts w:hint="default" w:ascii="ＭＳ ゴシック" w:hAnsi="ＭＳ ゴシック" w:eastAsia="ＭＳ ゴシック"/>
          <w:sz w:val="18"/>
        </w:rPr>
      </w:pPr>
      <w:r>
        <w:rPr>
          <w:rFonts w:hint="eastAsia" w:ascii="ＭＳ ゴシック" w:hAnsi="ＭＳ ゴシック" w:eastAsia="ＭＳ ゴシック"/>
          <w:sz w:val="24"/>
        </w:rPr>
        <w:t>宝達志水町長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寳　達　典　久</w:t>
      </w:r>
      <w:r>
        <w:rPr>
          <w:rFonts w:hint="eastAsia" w:ascii="ＭＳ ゴシック" w:hAnsi="ＭＳ ゴシック" w:eastAsia="ＭＳ ゴシック"/>
          <w:kern w:val="32"/>
          <w:sz w:val="32"/>
        </w:rPr>
        <w:t>　　　　　　　　　　</w:t>
      </w:r>
    </w:p>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〔申請書（イ－①）－添付書類〕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前期及び当期同月売上高比較表</w:t>
      </w:r>
    </w:p>
    <w:p>
      <w:pPr>
        <w:pStyle w:val="35"/>
        <w:jc w:val="left"/>
        <w:rPr>
          <w:rFonts w:hint="default" w:ascii="ＭＳ ゴシック" w:hAnsi="ＭＳ ゴシック" w:eastAsia="ＭＳ ゴシック"/>
          <w:spacing w:val="16"/>
          <w:kern w:val="0"/>
        </w:rPr>
      </w:pPr>
    </w:p>
    <w:p>
      <w:pPr>
        <w:pStyle w:val="0"/>
        <w:rPr>
          <w:rFonts w:hint="default" w:ascii="ＭＳ ゴシック" w:hAnsi="ＭＳ ゴシック" w:eastAsia="ＭＳ ゴシック"/>
        </w:rPr>
      </w:pPr>
    </w:p>
    <w:p>
      <w:pPr>
        <w:pStyle w:val="0"/>
        <w:ind w:firstLine="250" w:firstLineChars="100"/>
        <w:jc w:val="right"/>
        <w:rPr>
          <w:rFonts w:hint="default" w:ascii="ＭＳ ゴシック" w:hAnsi="ＭＳ ゴシック" w:eastAsia="ＭＳ ゴシック"/>
        </w:rPr>
      </w:pPr>
      <w:r>
        <w:rPr>
          <w:rFonts w:hint="eastAsia" w:ascii="ＭＳ ゴシック" w:hAnsi="ＭＳ ゴシック" w:eastAsia="ＭＳ ゴシック"/>
          <w:sz w:val="25"/>
          <w:u w:val="single" w:color="auto"/>
        </w:rPr>
        <mc:AlternateContent>
          <mc:Choice Requires="wps">
            <w:drawing>
              <wp:anchor distT="0" distB="0" distL="114300" distR="114300" simplePos="0" relativeHeight="2" behindDoc="0" locked="0" layoutInCell="1" hidden="0" allowOverlap="1">
                <wp:simplePos x="0" y="0"/>
                <wp:positionH relativeFrom="column">
                  <wp:posOffset>3200400</wp:posOffset>
                </wp:positionH>
                <wp:positionV relativeFrom="paragraph">
                  <wp:posOffset>160020</wp:posOffset>
                </wp:positionV>
                <wp:extent cx="0" cy="2514600"/>
                <wp:effectExtent l="635" t="0" r="29845" b="9525"/>
                <wp:wrapNone/>
                <wp:docPr id="1026" name="Line 5"/>
                <a:graphic xmlns:a="http://schemas.openxmlformats.org/drawingml/2006/main">
                  <a:graphicData uri="http://schemas.microsoft.com/office/word/2010/wordprocessingShape">
                    <wps:wsp>
                      <wps:cNvPr id="1026" name="Line 5"/>
                      <wps:cNvSpPr/>
                      <wps:spPr>
                        <a:xfrm>
                          <a:off x="0" y="0"/>
                          <a:ext cx="0" cy="2514600"/>
                        </a:xfrm>
                        <a:prstGeom prst="line">
                          <a:avLst/>
                        </a:prstGeom>
                        <a:noFill/>
                        <a:ln w="9525">
                          <a:solidFill>
                            <a:srgbClr val="000000"/>
                          </a:solidFill>
                          <a:prstDash val="dash"/>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52pt,12.600000000000001pt" to="252pt,210.60000000000002pt">
                <v:fill/>
                <v:stroke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rPr>
        <w:t>　（単位：千円）</w:t>
      </w:r>
    </w:p>
    <w:p>
      <w:pPr>
        <w:pStyle w:val="0"/>
        <w:ind w:firstLine="1750" w:firstLineChars="700"/>
        <w:rPr>
          <w:rFonts w:hint="default" w:ascii="ＭＳ ゴシック" w:hAnsi="ＭＳ ゴシック" w:eastAsia="ＭＳ ゴシック"/>
          <w:sz w:val="25"/>
        </w:rPr>
      </w:pPr>
      <w:r>
        <w:rPr>
          <w:rFonts w:hint="eastAsia" w:ascii="ＭＳ ゴシック" w:hAnsi="ＭＳ ゴシック" w:eastAsia="ＭＳ ゴシック"/>
          <w:sz w:val="25"/>
          <w:u w:val="single" w:color="auto"/>
        </w:rPr>
        <w:t>前期売上高</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18"/>
        </w:rPr>
        <w:t>　　　</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当期売上高</w:t>
      </w:r>
    </w:p>
    <w:p>
      <w:pPr>
        <w:pStyle w:val="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w:t>
      </w:r>
      <w:r>
        <w:rPr>
          <w:rFonts w:hint="eastAsia" w:ascii="ＭＳ ゴシック" w:hAnsi="ＭＳ ゴシック" w:eastAsia="ＭＳ ゴシック"/>
          <w:spacing w:val="100"/>
          <w:kern w:val="0"/>
          <w:sz w:val="25"/>
          <w:fitText w:val="2500" w:id="1"/>
        </w:rPr>
        <w:t>全体の売上</w:t>
      </w:r>
      <w:r>
        <w:rPr>
          <w:rFonts w:hint="eastAsia" w:ascii="ＭＳ ゴシック" w:hAnsi="ＭＳ ゴシック" w:eastAsia="ＭＳ ゴシック"/>
          <w:kern w:val="0"/>
          <w:sz w:val="25"/>
          <w:fitText w:val="2500" w:id="1"/>
        </w:rPr>
        <w:t>高</w:t>
      </w:r>
      <w:r>
        <w:rPr>
          <w:rFonts w:hint="eastAsia" w:ascii="ＭＳ ゴシック" w:hAnsi="ＭＳ ゴシック" w:eastAsia="ＭＳ ゴシック"/>
          <w:sz w:val="25"/>
        </w:rPr>
        <w:t>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rPr>
        <w:t xml:space="preserve"> </w:t>
      </w:r>
      <w:r>
        <w:rPr>
          <w:rFonts w:hint="eastAsia" w:ascii="ＭＳ ゴシック" w:hAnsi="ＭＳ ゴシック" w:eastAsia="ＭＳ ゴシック"/>
          <w:spacing w:val="100"/>
          <w:kern w:val="0"/>
          <w:sz w:val="25"/>
          <w:fitText w:val="2500" w:id="2"/>
        </w:rPr>
        <w:t>全体の売上</w:t>
      </w:r>
      <w:r>
        <w:rPr>
          <w:rFonts w:hint="eastAsia" w:ascii="ＭＳ ゴシック" w:hAnsi="ＭＳ ゴシック" w:eastAsia="ＭＳ ゴシック"/>
          <w:kern w:val="0"/>
          <w:sz w:val="25"/>
          <w:fitText w:val="2500" w:id="2"/>
        </w:rPr>
        <w:t>高</w:t>
      </w:r>
    </w:p>
    <w:p>
      <w:pPr>
        <w:pStyle w:val="0"/>
        <w:ind w:firstLine="1250" w:firstLineChars="500"/>
        <w:rPr>
          <w:rFonts w:hint="default" w:ascii="ＭＳ ゴシック" w:hAnsi="ＭＳ ゴシック" w:eastAsia="ＭＳ ゴシック"/>
          <w:sz w:val="25"/>
        </w:rPr>
      </w:pPr>
      <w:r>
        <w:rPr>
          <w:rFonts w:hint="eastAsia" w:ascii="ＭＳ ゴシック" w:hAnsi="ＭＳ ゴシック" w:eastAsia="ＭＳ ゴシック"/>
          <w:sz w:val="25"/>
        </w:rPr>
        <w:t>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千円　　　令和　　年　　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千円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千円　　　令和　　年　　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千円</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千円　　　令和　　年　　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千円</w:t>
      </w:r>
    </w:p>
    <w:p>
      <w:pPr>
        <w:pStyle w:val="0"/>
        <w:ind w:firstLine="250" w:firstLineChars="100"/>
        <w:rPr>
          <w:rFonts w:hint="default" w:ascii="ＭＳ ゴシック" w:hAnsi="ＭＳ ゴシック" w:eastAsia="ＭＳ ゴシック"/>
          <w:color w:val="000000"/>
          <w:sz w:val="25"/>
          <w:u w:val="single" w:color="auto"/>
        </w:rPr>
      </w:pPr>
      <w:r>
        <w:rPr>
          <w:rFonts w:hint="eastAsia" w:ascii="ＭＳ ゴシック" w:hAnsi="ＭＳ ゴシック" w:eastAsia="ＭＳ ゴシック"/>
          <w:color w:val="000000"/>
          <w:sz w:val="25"/>
          <w:u w:val="single" w:color="auto"/>
        </w:rPr>
        <w:t>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u w:val="single" w:color="auto"/>
        </w:rPr>
        <w:t xml:space="preserve">  </w:t>
      </w:r>
      <w:r>
        <w:rPr>
          <w:rFonts w:hint="eastAsia" w:ascii="ＭＳ ゴシック" w:hAnsi="ＭＳ ゴシック" w:eastAsia="ＭＳ ゴシック"/>
          <w:color w:val="000000"/>
          <w:sz w:val="25"/>
          <w:u w:val="single" w:color="auto"/>
        </w:rPr>
        <w:t>　　　　　　　　　</w:t>
      </w:r>
      <w:r>
        <w:rPr>
          <w:rFonts w:hint="eastAsia" w:ascii="ＭＳ ゴシック" w:hAnsi="ＭＳ ゴシック" w:eastAsia="ＭＳ ゴシック"/>
          <w:color w:val="000000"/>
          <w:sz w:val="25"/>
          <w:u w:val="single" w:color="auto"/>
        </w:rPr>
        <w:t xml:space="preserve">               </w:t>
      </w:r>
    </w:p>
    <w:p>
      <w:pPr>
        <w:pStyle w:val="0"/>
        <w:ind w:firstLine="250" w:firstLineChars="100"/>
        <w:rPr>
          <w:rFonts w:hint="default" w:ascii="ＭＳ ゴシック" w:hAnsi="ＭＳ ゴシック" w:eastAsia="ＭＳ ゴシック"/>
          <w:color w:val="FF0000"/>
          <w:sz w:val="25"/>
        </w:rPr>
      </w:pPr>
      <w:r>
        <w:rPr>
          <w:rFonts w:hint="eastAsia" w:ascii="ＭＳ ゴシック" w:hAnsi="ＭＳ ゴシック" w:eastAsia="ＭＳ ゴシック"/>
          <w:color w:val="000000"/>
          <w:sz w:val="25"/>
        </w:rPr>
        <w:t>合　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【Ｂ】</w:t>
      </w:r>
      <w:r>
        <w:rPr>
          <w:rFonts w:hint="eastAsia" w:ascii="ＭＳ ゴシック" w:hAnsi="ＭＳ ゴシック" w:eastAsia="ＭＳ ゴシック"/>
          <w:color w:val="000000"/>
          <w:sz w:val="25"/>
          <w:u w:val="single" w:color="000000"/>
        </w:rPr>
        <w:t>　</w:t>
      </w:r>
      <w:r>
        <w:rPr>
          <w:rFonts w:hint="eastAsia" w:ascii="ＭＳ ゴシック" w:hAnsi="ＭＳ ゴシック" w:eastAsia="ＭＳ ゴシック"/>
          <w:color w:val="000000"/>
          <w:sz w:val="25"/>
          <w:u w:val="single" w:color="000000"/>
        </w:rPr>
        <w:t xml:space="preserve"> </w:t>
      </w:r>
      <w:r>
        <w:rPr>
          <w:rFonts w:hint="eastAsia" w:ascii="ＭＳ ゴシック" w:hAnsi="ＭＳ ゴシック" w:eastAsia="ＭＳ ゴシック"/>
          <w:color w:val="000000"/>
          <w:sz w:val="25"/>
          <w:u w:val="single" w:color="000000"/>
        </w:rPr>
        <w:t>　　　　　　千円</w:t>
      </w:r>
      <w:r>
        <w:rPr>
          <w:rFonts w:hint="eastAsia" w:ascii="ＭＳ ゴシック" w:hAnsi="ＭＳ ゴシック" w:eastAsia="ＭＳ ゴシック"/>
          <w:color w:val="000000"/>
          <w:sz w:val="25"/>
        </w:rPr>
        <w:t>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合　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【Ａ】</w:t>
      </w:r>
      <w:r>
        <w:rPr>
          <w:rFonts w:hint="eastAsia" w:ascii="ＭＳ ゴシック" w:hAnsi="ＭＳ ゴシック" w:eastAsia="ＭＳ ゴシック"/>
          <w:color w:val="000000"/>
          <w:sz w:val="25"/>
          <w:u w:val="single" w:color="000000"/>
        </w:rPr>
        <w:t>　　　　　　</w:t>
      </w:r>
      <w:r>
        <w:rPr>
          <w:rFonts w:hint="eastAsia" w:ascii="ＭＳ ゴシック" w:hAnsi="ＭＳ ゴシック" w:eastAsia="ＭＳ ゴシック"/>
          <w:color w:val="000000"/>
          <w:sz w:val="25"/>
          <w:u w:val="single" w:color="000000"/>
        </w:rPr>
        <w:t xml:space="preserve"> </w:t>
      </w:r>
      <w:r>
        <w:rPr>
          <w:rFonts w:hint="eastAsia" w:ascii="ＭＳ ゴシック" w:hAnsi="ＭＳ ゴシック" w:eastAsia="ＭＳ ゴシック"/>
          <w:color w:val="000000"/>
          <w:sz w:val="25"/>
          <w:u w:val="single" w:color="000000"/>
        </w:rPr>
        <w:t>　千</w:t>
      </w:r>
      <w:r>
        <w:rPr>
          <w:rFonts w:hint="eastAsia" w:ascii="ＭＳ ゴシック" w:hAnsi="ＭＳ ゴシック" w:eastAsia="ＭＳ ゴシック"/>
          <w:sz w:val="25"/>
          <w:u w:val="single" w:color="000000"/>
        </w:rPr>
        <w:t>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①全体の売上高</w:t>
      </w:r>
    </w:p>
    <w:p>
      <w:pPr>
        <w:pStyle w:val="0"/>
        <w:ind w:firstLine="1250" w:firstLineChars="500"/>
        <w:rPr>
          <w:rFonts w:hint="default" w:ascii="ＭＳ ゴシック" w:hAnsi="ＭＳ ゴシック" w:eastAsia="ＭＳ ゴシック"/>
          <w:sz w:val="25"/>
        </w:rPr>
      </w:pPr>
      <w:r>
        <w:rPr>
          <w:rFonts w:hint="eastAsia" w:ascii="ＭＳ ゴシック" w:hAnsi="ＭＳ ゴシック" w:eastAsia="ＭＳ ゴシック"/>
          <w:sz w:val="25"/>
        </w:rPr>
        <w:t>（Ｂ－Ａ）÷Ｂ×１００＝　</w:t>
      </w:r>
      <w:r>
        <w:rPr>
          <w:rFonts w:hint="eastAsia" w:ascii="ＭＳ ゴシック" w:hAnsi="ＭＳ ゴシック" w:eastAsia="ＭＳ ゴシック"/>
          <w:b w:val="1"/>
          <w:color w:val="000000"/>
          <w:sz w:val="25"/>
          <w:u w:val="thick" w:color="000000"/>
        </w:rPr>
        <w:t>▲　　　　　％</w:t>
      </w:r>
      <w:r>
        <w:rPr>
          <w:rFonts w:hint="eastAsia" w:ascii="ＭＳ ゴシック" w:hAnsi="ＭＳ ゴシック" w:eastAsia="ＭＳ ゴシック"/>
          <w:color w:val="000000"/>
          <w:sz w:val="25"/>
          <w:u w:val="thick" w:color="auto"/>
        </w:rPr>
        <w:t>　</w:t>
      </w:r>
      <w:r>
        <w:rPr>
          <w:rFonts w:hint="eastAsia" w:ascii="ＭＳ ゴシック" w:hAnsi="ＭＳ ゴシック" w:eastAsia="ＭＳ ゴシック"/>
          <w:sz w:val="25"/>
        </w:rPr>
        <w:t>≧　▲５．０％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eastAsia" w:ascii="ＭＳ ゴシック" w:hAnsi="ＭＳ ゴシック" w:eastAsia="ＭＳ ゴシック"/>
        </w:rPr>
        <w:t>※注１．最近３ヶ月分及び前年同期分の売上高を計上すること。</w:t>
      </w:r>
    </w:p>
    <w:p>
      <w:pPr>
        <w:pStyle w:val="0"/>
        <w:rPr>
          <w:rFonts w:hint="default" w:ascii="ＭＳ ゴシック" w:hAnsi="ＭＳ ゴシック" w:eastAsia="ＭＳ ゴシック"/>
        </w:rPr>
      </w:pPr>
      <w:r>
        <w:rPr>
          <w:rFonts w:hint="eastAsia" w:ascii="ＭＳ ゴシック" w:hAnsi="ＭＳ ゴシック" w:eastAsia="ＭＳ ゴシック"/>
        </w:rPr>
        <w:t>※注２．当該月の各試算表等を添付すること。</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日</w:t>
      </w:r>
    </w:p>
    <w:p>
      <w:pPr>
        <w:pStyle w:val="0"/>
        <w:ind w:left="945" w:leftChars="450"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上記のとおり相違ありません。</w:t>
      </w:r>
    </w:p>
    <w:p>
      <w:pPr>
        <w:pStyle w:val="0"/>
        <w:ind w:left="945" w:leftChars="450" w:firstLine="250" w:firstLineChars="100"/>
        <w:rPr>
          <w:rFonts w:hint="default" w:ascii="ＭＳ ゴシック" w:hAnsi="ＭＳ ゴシック" w:eastAsia="ＭＳ ゴシック"/>
          <w:color w:val="000000"/>
          <w:sz w:val="25"/>
        </w:rPr>
      </w:pPr>
    </w:p>
    <w:p>
      <w:pPr>
        <w:pStyle w:val="0"/>
        <w:ind w:left="945" w:leftChars="450" w:firstLine="3500" w:firstLineChars="1400"/>
        <w:jc w:val="left"/>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住　　所　</w:t>
      </w:r>
    </w:p>
    <w:p>
      <w:pPr>
        <w:pStyle w:val="0"/>
        <w:ind w:left="945" w:leftChars="450" w:firstLine="3500" w:firstLineChars="1400"/>
        <w:jc w:val="left"/>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会</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社</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名　</w:t>
      </w:r>
    </w:p>
    <w:p>
      <w:pPr>
        <w:pStyle w:val="0"/>
        <w:ind w:left="945" w:leftChars="4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sz w:val="25"/>
        </w:rPr>
        <w:t>　　　　　　　　　　　　　　</w:t>
      </w:r>
      <w:r>
        <w:rPr>
          <w:rFonts w:hint="eastAsia" w:ascii="ＭＳ ゴシック" w:hAnsi="ＭＳ ゴシック" w:eastAsia="ＭＳ ゴシック"/>
          <w:color w:val="000000"/>
          <w:sz w:val="25"/>
          <w:u w:val="single" w:color="auto"/>
        </w:rPr>
        <w:t>代表者名　　　　　　　　　　　　</w:t>
      </w:r>
      <w:r>
        <w:rPr>
          <w:rFonts w:hint="eastAsia" w:ascii="ＭＳ ゴシック" w:hAnsi="ＭＳ ゴシック" w:eastAsia="ＭＳ ゴシック"/>
          <w:color w:val="000000"/>
          <w:sz w:val="25"/>
          <w:u w:val="single" w:color="000000"/>
        </w:rPr>
        <w:t>　</w:t>
      </w:r>
      <w:r>
        <w:rPr>
          <w:rFonts w:hint="eastAsia" w:ascii="ＭＳ ゴシック" w:hAnsi="ＭＳ ゴシック" w:eastAsia="ＭＳ ゴシック"/>
          <w:color w:val="000000"/>
          <w:sz w:val="25"/>
          <w:u w:val="single" w:color="auto"/>
        </w:rPr>
        <w:t>　　</w:t>
      </w:r>
      <w:bookmarkStart w:id="0" w:name="_GoBack"/>
      <w:bookmarkEnd w:id="0"/>
    </w:p>
    <w:p>
      <w:pPr>
        <w:pStyle w:val="0"/>
        <w:suppressAutoHyphens w:val="1"/>
        <w:ind w:left="210"/>
        <w:jc w:val="center"/>
        <w:textAlignment w:val="baseline"/>
        <w:rPr>
          <w:rFonts w:hint="default" w:ascii="ＭＳ ゴシック" w:hAnsi="ＭＳ ゴシック" w:eastAsia="ＭＳ ゴシック"/>
          <w:color w:val="000000"/>
          <w:kern w:val="32"/>
        </w:rPr>
      </w:pPr>
      <w:r>
        <w:rPr>
          <w:rFonts w:hint="eastAsia" w:ascii="ＭＳ ゴシック" w:hAnsi="ＭＳ ゴシック" w:eastAsia="ＭＳ ゴシック"/>
          <w:color w:val="000000"/>
          <w:kern w:val="32"/>
        </w:rPr>
        <w:t>　</w:t>
      </w:r>
    </w:p>
    <w:sectPr>
      <w:pgSz w:w="11906" w:h="16838"/>
      <w:pgMar w:top="1134"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name w:val="List Paragraph"/>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Words>
  <Characters>893</Characters>
  <Application>JUST Note</Application>
  <Lines>92</Lines>
  <Paragraphs>53</Paragraphs>
  <Company>金沢市</Company>
  <CharactersWithSpaces>1512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水野 夢野</cp:lastModifiedBy>
  <cp:lastPrinted>2024-07-02T06:05:04Z</cp:lastPrinted>
  <dcterms:created xsi:type="dcterms:W3CDTF">2019-08-28T01:41:00Z</dcterms:created>
  <dcterms:modified xsi:type="dcterms:W3CDTF">2024-09-11T01:58:59Z</dcterms:modified>
  <cp:revision>6</cp:revision>
</cp:coreProperties>
</file>