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kern w:val="0"/>
        </w:rPr>
        <w:t>様式第５－（イ）－③　</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9692"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（あて先）宝達志水町長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会</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社</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000000"/>
              </w:rPr>
              <w:t>代表者名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私は、表に記載する業を営んでいるが、下記のとおり、</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（注２）が生じているため、経営の安定に支障が生じておりますので、中小企業信用保険法第２条第５項第５号の規定に基づき認定されるようお願いします。</w:t>
            </w:r>
          </w:p>
          <w:p>
            <w:pPr>
              <w:pStyle w:val="33"/>
              <w:rPr>
                <w:rFonts w:hint="default"/>
                <w:color w:val="auto"/>
              </w:rPr>
            </w:pPr>
            <w:r>
              <w:rPr>
                <w:rFonts w:hint="eastAsia"/>
                <w:color w:val="auto"/>
              </w:rPr>
              <w:t>記</w:t>
            </w:r>
          </w:p>
          <w:p>
            <w:pPr>
              <w:pStyle w:val="35"/>
              <w:jc w:val="left"/>
              <w:rPr>
                <w:rFonts w:hint="default"/>
                <w:color w:val="auto"/>
              </w:rPr>
            </w:pPr>
            <w:r>
              <w:rPr>
                <w:rFonts w:hint="eastAsia"/>
                <w:color w:val="auto"/>
              </w:rPr>
              <w:t>（表</w:t>
            </w:r>
            <w:r>
              <w:rPr>
                <w:rFonts w:hint="default"/>
                <w:color w:val="auto"/>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c>
                <w:tcPr>
                  <w:tcW w:w="3190"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tc>
              <w:tc>
                <w:tcPr>
                  <w:tcW w:w="3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tc>
            </w:tr>
            <w:tr>
              <w:trPr>
                <w:trHeight w:val="375" w:hRule="atLeast"/>
              </w:trPr>
              <w:tc>
                <w:tcPr>
                  <w:tcW w:w="3188"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tc>
              <w:tc>
                <w:tcPr>
                  <w:tcW w:w="3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tc>
              <w:tc>
                <w:tcPr>
                  <w:tcW w:w="3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rPr>
              <w:t>※表には、指定業種であって、売上高等の減少が生じている事業が属する業種（日本標準産業分類の</w:t>
            </w:r>
            <w:r>
              <w:rPr>
                <w:rFonts w:hint="eastAsia" w:ascii="ＭＳ ゴシック" w:hAnsi="ＭＳ ゴシック" w:eastAsia="ＭＳ ゴシック"/>
                <w:spacing w:val="16"/>
                <w:kern w:val="0"/>
                <w:u w:val="single" w:color="auto"/>
              </w:rPr>
              <w:t>細分類番号</w:t>
            </w:r>
            <w:r>
              <w:rPr>
                <w:rFonts w:hint="eastAsia" w:ascii="ＭＳ ゴシック" w:hAnsi="ＭＳ ゴシック" w:eastAsia="ＭＳ ゴシック"/>
                <w:spacing w:val="16"/>
                <w:kern w:val="0"/>
              </w:rPr>
              <w:t>と</w:t>
            </w:r>
            <w:r>
              <w:rPr>
                <w:rFonts w:hint="eastAsia" w:ascii="ＭＳ ゴシック" w:hAnsi="ＭＳ ゴシック" w:eastAsia="ＭＳ ゴシック"/>
                <w:spacing w:val="16"/>
                <w:kern w:val="0"/>
                <w:u w:val="single" w:color="auto"/>
              </w:rPr>
              <w:t>細分類業種名</w:t>
            </w:r>
            <w:r>
              <w:rPr>
                <w:rFonts w:hint="eastAsia" w:ascii="ＭＳ ゴシック" w:hAnsi="ＭＳ ゴシック" w:eastAsia="ＭＳ ゴシック"/>
                <w:spacing w:val="16"/>
                <w:kern w:val="0"/>
              </w:rPr>
              <w:t>）を記載。当該指定業種が複数ある場合には、その中で、最近１年間で最も売上高等が大きい事業が属する指定業種を左上の太枠に記載。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rPr>
              <w:t>（１）前年の企業全体の売上高等に対する、上記の表に記載した指定業種（以下同じ。）に属する事業の売上高等の減少額等の割合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Ｄ</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w:t>
            </w:r>
            <w:r>
              <w:rPr>
                <w:rFonts w:hint="default" w:ascii="ＭＳ ゴシック" w:hAnsi="ＭＳ ゴシック" w:eastAsia="ＭＳ ゴシック"/>
                <w:kern w:val="0"/>
              </w:rPr>
              <w:t xml:space="preserve">100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000000"/>
              </w:rPr>
              <w:t>割合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Ａ：申込時点における最近３か月間の指定業種に属する事業の売上高等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Ｂ：Ａの期間に対応する前年の３か月間の指定業種に属する事業の売上高等</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00000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kern w:val="0"/>
              </w:rPr>
            </w:pPr>
            <w:r>
              <w:rPr>
                <w:rFonts w:hint="eastAsia" w:ascii="ＭＳ ゴシック" w:hAnsi="ＭＳ ゴシック" w:eastAsia="ＭＳ ゴシック"/>
                <w:kern w:val="0"/>
              </w:rPr>
              <w:t>　　Ｄ：Ａの期間に対応する前年の３か月間の全体の売上高等</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xml:space="preserve"> </w:t>
            </w:r>
            <w:r>
              <w:rPr>
                <w:rFonts w:hint="default"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w:t>
            </w:r>
            <w:r>
              <w:rPr>
                <w:rFonts w:hint="default"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u w:val="single" w:color="auto"/>
              </w:rPr>
            </w:pPr>
            <w:r>
              <w:rPr>
                <w:rFonts w:hint="eastAsia" w:ascii="ＭＳ ゴシック" w:hAnsi="ＭＳ ゴシック" w:eastAsia="ＭＳ ゴシック"/>
                <w:spacing w:val="16"/>
                <w:kern w:val="0"/>
              </w:rPr>
              <w:t>　　　　</w:t>
            </w:r>
            <w:r>
              <w:rPr>
                <w:rFonts w:hint="eastAsia" w:ascii="ＭＳ ゴシック" w:hAnsi="ＭＳ ゴシック" w:eastAsia="ＭＳ ゴシック"/>
                <w:spacing w:val="16"/>
                <w:kern w:val="0"/>
                <w:u w:val="single" w:color="auto"/>
              </w:rPr>
              <w:t>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u w:val="single" w:color="auto"/>
              </w:rPr>
            </w:pPr>
            <w:r>
              <w:rPr>
                <w:rFonts w:hint="eastAsia" w:ascii="ＭＳ ゴシック" w:hAnsi="ＭＳ ゴシック" w:eastAsia="ＭＳ ゴシック"/>
                <w:spacing w:val="16"/>
                <w:kern w:val="0"/>
              </w:rPr>
              <w:t>　　　　　Ｄ　　×</w:t>
            </w:r>
            <w:r>
              <w:rPr>
                <w:rFonts w:hint="default" w:ascii="ＭＳ ゴシック" w:hAnsi="ＭＳ ゴシック" w:eastAsia="ＭＳ ゴシック"/>
                <w:spacing w:val="16"/>
                <w:kern w:val="0"/>
              </w:rPr>
              <w:t>100</w:t>
            </w:r>
            <w:r>
              <w:rPr>
                <w:rFonts w:hint="eastAsia" w:ascii="ＭＳ ゴシック" w:hAnsi="ＭＳ ゴシック" w:eastAsia="ＭＳ ゴシック"/>
                <w:spacing w:val="16"/>
                <w:kern w:val="0"/>
              </w:rPr>
              <w:t>　　　　　　　　　　</w:t>
            </w:r>
            <w:r>
              <w:rPr>
                <w:rFonts w:hint="eastAsia" w:ascii="ＭＳ ゴシック" w:hAnsi="ＭＳ ゴシック" w:eastAsia="ＭＳ ゴシック"/>
                <w:spacing w:val="16"/>
                <w:kern w:val="0"/>
                <w:u w:val="single" w:color="auto"/>
              </w:rPr>
              <w:t>減少率　　　　％</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kern w:val="0"/>
              </w:rPr>
            </w:pPr>
            <w:r>
              <w:rPr>
                <w:rFonts w:hint="eastAsia" w:ascii="ＭＳ ゴシック" w:hAnsi="ＭＳ ゴシック" w:eastAsia="ＭＳ ゴシック"/>
                <w:kern w:val="0"/>
              </w:rPr>
              <w:t>Ｃ：Ａの期間の全体の売上高等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auto"/>
              </w:rPr>
              <w:t>　　　　　　　　千円</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Ｄ：Ａの期間に対応する前年の３か月間の全体の売上高等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千円</w:t>
            </w:r>
          </w:p>
        </w:tc>
      </w:tr>
    </w:tbl>
    <w:p>
      <w:pPr>
        <w:pStyle w:val="0"/>
        <w:rPr>
          <w:rFonts w:hint="eastAsia" w:ascii="ＭＳ ゴシック" w:hAnsi="ＭＳ ゴシック" w:eastAsia="ＭＳ ゴシック"/>
        </w:rPr>
      </w:pPr>
      <w:r>
        <w:rPr>
          <w:rFonts w:hint="eastAsia" w:ascii="ＭＳ ゴシック" w:hAnsi="ＭＳ ゴシック" w:eastAsia="ＭＳ ゴシック"/>
        </w:rPr>
        <w:t>（注１）本様式は、指定業種に属する事業の売上高等の減少が申請者全体の売上高等に相当程度の影響</w:t>
      </w:r>
    </w:p>
    <w:p>
      <w:pPr>
        <w:pStyle w:val="0"/>
        <w:ind w:firstLine="840" w:firstLineChars="400"/>
        <w:rPr>
          <w:rFonts w:hint="eastAsia" w:ascii="ＭＳ ゴシック" w:hAnsi="ＭＳ ゴシック" w:eastAsia="ＭＳ ゴシック"/>
        </w:rPr>
      </w:pPr>
      <w:r>
        <w:rPr>
          <w:rFonts w:hint="eastAsia" w:ascii="ＭＳ ゴシック" w:hAnsi="ＭＳ ゴシック" w:eastAsia="ＭＳ ゴシック"/>
        </w:rPr>
        <w:t>を与えていることによって、申請者全体の売上高等が認定基準を満たす場合に使用する。</w:t>
      </w:r>
    </w:p>
    <w:p>
      <w:pPr>
        <w:pStyle w:val="0"/>
        <w:rPr>
          <w:rFonts w:hint="eastAsia" w:ascii="ＭＳ ゴシック" w:hAnsi="ＭＳ ゴシック" w:eastAsia="ＭＳ ゴシック"/>
        </w:rPr>
      </w:pPr>
      <w:r>
        <w:rPr>
          <w:rFonts w:hint="eastAsia" w:ascii="ＭＳ ゴシック" w:hAnsi="ＭＳ ゴシック" w:eastAsia="ＭＳ ゴシック"/>
        </w:rPr>
        <w:t>（注２）</w:t>
      </w:r>
      <w:r>
        <w:rPr>
          <w:rFonts w:hint="eastAsia" w:ascii="ＭＳ ゴシック" w:hAnsi="ＭＳ ゴシック" w:eastAsia="ＭＳ ゴシック"/>
          <w:u w:val="single" w:color="auto"/>
        </w:rPr>
        <w:t>　　　　　</w:t>
      </w:r>
      <w:r>
        <w:rPr>
          <w:rFonts w:hint="eastAsia" w:ascii="ＭＳ ゴシック" w:hAnsi="ＭＳ ゴシック" w:eastAsia="ＭＳ ゴシック"/>
        </w:rPr>
        <w:t>には｢販売数量の減少）又は｢売上高の減少｣等を入れる。</w:t>
      </w:r>
    </w:p>
    <w:p>
      <w:pPr>
        <w:pStyle w:val="0"/>
        <w:rPr>
          <w:rFonts w:hint="eastAsia" w:ascii="ＭＳ ゴシック" w:hAnsi="ＭＳ ゴシック" w:eastAsia="ＭＳ ゴシック"/>
        </w:rPr>
      </w:pPr>
      <w:r>
        <w:rPr>
          <w:rFonts w:hint="eastAsia" w:ascii="ＭＳ ゴシック" w:hAnsi="ＭＳ ゴシック" w:eastAsia="ＭＳ ゴシック"/>
        </w:rPr>
        <w:t>（留意事項）</w:t>
      </w:r>
    </w:p>
    <w:p>
      <w:pPr>
        <w:pStyle w:val="0"/>
        <w:rPr>
          <w:rFonts w:hint="eastAsia" w:ascii="ＭＳ ゴシック" w:hAnsi="ＭＳ ゴシック" w:eastAsia="ＭＳ ゴシック"/>
        </w:rPr>
      </w:pPr>
      <w:r>
        <w:rPr>
          <w:rFonts w:hint="eastAsia" w:ascii="ＭＳ ゴシック" w:hAnsi="ＭＳ ゴシック" w:eastAsia="ＭＳ ゴシック"/>
        </w:rPr>
        <w:t>　①</w:t>
      </w:r>
      <w:r>
        <w:rPr>
          <w:rFonts w:hint="eastAsia" w:ascii="ＭＳ ゴシック" w:hAnsi="ＭＳ ゴシック" w:eastAsia="ＭＳ ゴシック"/>
        </w:rPr>
        <w:t xml:space="preserve"> </w:t>
      </w:r>
      <w:r>
        <w:rPr>
          <w:rFonts w:hint="eastAsia" w:ascii="ＭＳ ゴシック" w:hAnsi="ＭＳ ゴシック" w:eastAsia="ＭＳ ゴシック"/>
        </w:rPr>
        <w:t>本認定とは別に、金融機関及び信用保証協会による金融上の審査があります。</w:t>
      </w:r>
    </w:p>
    <w:p>
      <w:pPr>
        <w:pStyle w:val="0"/>
        <w:rPr>
          <w:rFonts w:hint="eastAsia" w:ascii="ＭＳ ゴシック" w:hAnsi="ＭＳ ゴシック" w:eastAsia="ＭＳ ゴシック"/>
        </w:rPr>
      </w:pPr>
      <w:r>
        <w:rPr>
          <w:rFonts w:hint="eastAsia" w:ascii="ＭＳ ゴシック" w:hAnsi="ＭＳ ゴシック" w:eastAsia="ＭＳ ゴシック"/>
        </w:rPr>
        <w:t>　②</w:t>
      </w:r>
      <w:r>
        <w:rPr>
          <w:rFonts w:hint="eastAsia" w:ascii="ＭＳ ゴシック" w:hAnsi="ＭＳ ゴシック" w:eastAsia="ＭＳ ゴシック"/>
        </w:rPr>
        <w:t xml:space="preserve"> </w:t>
      </w:r>
      <w:r>
        <w:rPr>
          <w:rFonts w:hint="eastAsia" w:ascii="ＭＳ ゴシック" w:hAnsi="ＭＳ ゴシック" w:eastAsia="ＭＳ ゴシック"/>
        </w:rPr>
        <w:t>町長から認定を受けた後、本認定の有効期間内に金融機関又は信用保証協会に対して、経営安定　　</w:t>
      </w:r>
    </w:p>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関連保証の申込を行うことが必要です。</w:t>
      </w:r>
    </w:p>
    <w:p>
      <w:pPr>
        <w:pStyle w:val="0"/>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宝商第　　　　　号</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（注）本認定書の有効期間：令和　　年　　月　　日から令和　　年　　月　　日まで</w:t>
      </w:r>
    </w:p>
    <w:p>
      <w:pPr>
        <w:pStyle w:val="0"/>
        <w:suppressAutoHyphens w:val="1"/>
        <w:wordWrap w:val="0"/>
        <w:spacing w:line="240" w:lineRule="exact"/>
        <w:ind w:left="210"/>
        <w:jc w:val="left"/>
        <w:textAlignment w:val="baseline"/>
        <w:rPr>
          <w:rFonts w:hint="eastAsia" w:ascii="ＭＳ ゴシック" w:hAnsi="ＭＳ ゴシック" w:eastAsia="ＭＳ ゴシック"/>
          <w:sz w:val="32"/>
        </w:rPr>
      </w:pPr>
    </w:p>
    <w:p>
      <w:pPr>
        <w:pStyle w:val="0"/>
        <w:suppressAutoHyphens w:val="1"/>
        <w:ind w:left="210"/>
        <w:jc w:val="center"/>
        <w:textAlignment w:val="baseline"/>
        <w:rPr>
          <w:rFonts w:hint="eastAsia" w:ascii="ＭＳ ゴシック" w:hAnsi="ＭＳ ゴシック" w:eastAsia="ＭＳ ゴシック"/>
          <w:kern w:val="32"/>
          <w:sz w:val="32"/>
        </w:rPr>
      </w:pPr>
      <w:r>
        <w:rPr>
          <w:rFonts w:hint="eastAsia" w:ascii="ＭＳ ゴシック" w:hAnsi="ＭＳ ゴシック" w:eastAsia="ＭＳ ゴシック"/>
          <w:kern w:val="32"/>
          <w:sz w:val="32"/>
        </w:rPr>
        <w:t>　　　　　　　　　　　　　　</w:t>
      </w:r>
      <w:r>
        <w:rPr>
          <w:rFonts w:hint="eastAsia" w:ascii="ＭＳ ゴシック" w:hAnsi="ＭＳ ゴシック" w:eastAsia="ＭＳ ゴシック"/>
          <w:sz w:val="24"/>
        </w:rPr>
        <w:t>宝達志水町長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寳　達　典　久</w:t>
      </w:r>
    </w:p>
    <w:p>
      <w:pPr>
        <w:pStyle w:val="0"/>
        <w:widowControl w:val="1"/>
        <w:ind w:right="120"/>
        <w:jc w:val="right"/>
        <w:rPr>
          <w:rFonts w:hint="default" w:ascii="ＭＳ ゴシック" w:hAnsi="ＭＳ ゴシック" w:eastAsia="ＭＳ ゴシック"/>
          <w:sz w:val="18"/>
        </w:rPr>
      </w:pPr>
      <w:r>
        <w:rPr>
          <w:rFonts w:hint="eastAsia" w:ascii="ＭＳ ゴシック" w:hAnsi="ＭＳ ゴシック" w:eastAsia="ＭＳ ゴシック"/>
          <w:sz w:val="18"/>
        </w:rPr>
        <w:t>〔申請書（イ－③）－添付書類〕</w:t>
      </w:r>
    </w:p>
    <w:p>
      <w:pPr>
        <w:pStyle w:val="0"/>
        <w:widowControl w:val="1"/>
        <w:ind w:right="120"/>
        <w:jc w:val="right"/>
        <w:rPr>
          <w:rFonts w:hint="default" w:ascii="ＭＳ ゴシック" w:hAnsi="ＭＳ ゴシック" w:eastAsia="ＭＳ ゴシック"/>
        </w:rPr>
      </w:pPr>
    </w:p>
    <w:p>
      <w:pPr>
        <w:pStyle w:val="0"/>
        <w:jc w:val="center"/>
        <w:rPr>
          <w:rFonts w:hint="default" w:ascii="ＭＳ ゴシック" w:hAnsi="ＭＳ ゴシック" w:eastAsia="ＭＳ ゴシック"/>
          <w:sz w:val="26"/>
        </w:rPr>
      </w:pPr>
      <w:r>
        <w:rPr>
          <w:rFonts w:hint="eastAsia" w:ascii="ＭＳ ゴシック" w:hAnsi="ＭＳ ゴシック" w:eastAsia="ＭＳ ゴシック"/>
          <w:sz w:val="32"/>
          <w:u w:val="double" w:color="auto"/>
        </w:rPr>
        <w:t>前期及び当期同月売上高比較表</w:t>
      </w:r>
    </w:p>
    <w:p>
      <w:pPr>
        <w:pStyle w:val="0"/>
        <w:ind w:firstLine="240" w:firstLineChars="100"/>
        <w:jc w:val="right"/>
        <w:rPr>
          <w:rFonts w:hint="default" w:ascii="ＭＳ ゴシック" w:hAnsi="ＭＳ ゴシック" w:eastAsia="ＭＳ ゴシック"/>
        </w:rPr>
      </w:pPr>
    </w:p>
    <w:p>
      <w:pPr>
        <w:pStyle w:val="0"/>
        <w:ind w:firstLine="240" w:firstLineChars="100"/>
        <w:jc w:val="right"/>
        <w:rPr>
          <w:rFonts w:hint="default" w:ascii="ＭＳ ゴシック" w:hAnsi="ＭＳ ゴシック" w:eastAsia="ＭＳ ゴシック"/>
        </w:rPr>
      </w:pPr>
      <w:r>
        <w:rPr>
          <w:rFonts w:hint="eastAsia" w:ascii="ＭＳ ゴシック" w:hAnsi="ＭＳ ゴシック" w:eastAsia="ＭＳ ゴシック"/>
          <w:sz w:val="24"/>
          <w:u w:val="single" w:color="auto"/>
        </w:rPr>
        <mc:AlternateContent>
          <mc:Choice Requires="wps">
            <w:drawing>
              <wp:anchor distT="0" distB="0" distL="114300" distR="114300" simplePos="0" relativeHeight="2" behindDoc="0" locked="0" layoutInCell="1" hidden="0" allowOverlap="1">
                <wp:simplePos x="0" y="0"/>
                <wp:positionH relativeFrom="column">
                  <wp:posOffset>3133725</wp:posOffset>
                </wp:positionH>
                <wp:positionV relativeFrom="paragraph">
                  <wp:posOffset>114935</wp:posOffset>
                </wp:positionV>
                <wp:extent cx="0" cy="2514600"/>
                <wp:effectExtent l="635" t="0" r="29845" b="9525"/>
                <wp:wrapNone/>
                <wp:docPr id="1026" name="Line 8"/>
                <a:graphic xmlns:a="http://schemas.openxmlformats.org/drawingml/2006/main">
                  <a:graphicData uri="http://schemas.microsoft.com/office/word/2010/wordprocessingShape">
                    <wps:wsp>
                      <wps:cNvPr id="1026" name="Line 8"/>
                      <wps:cNvSpPr/>
                      <wps:spPr>
                        <a:xfrm>
                          <a:off x="0" y="0"/>
                          <a:ext cx="0" cy="2514600"/>
                        </a:xfrm>
                        <a:prstGeom prst="line">
                          <a:avLst/>
                        </a:prstGeom>
                        <a:noFill/>
                        <a:ln w="9525">
                          <a:solidFill>
                            <a:srgbClr val="000000"/>
                          </a:solidFill>
                          <a:prstDash val="dash"/>
                          <a:round/>
                          <a:headEnd/>
                          <a:tailEnd/>
                        </a:ln>
                      </wps:spPr>
                      <wps:bodyPr/>
                    </wps:wsp>
                  </a:graphicData>
                </a:graphic>
              </wp:anchor>
            </w:drawing>
          </mc:Choice>
          <mc:Fallback>
            <w:pict>
              <v:line id="Line 8"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246.75pt,9.0500000000000007pt" to="246.75pt,207.05pt">
                <v:fill/>
                <v:stroke dashstyle="dash" filltype="solid"/>
                <v:textbox style="layout-flow:horizontal;"/>
                <v:imagedata o:title=""/>
                <w10:wrap type="none" anchorx="text" anchory="text"/>
              </v:line>
            </w:pict>
          </mc:Fallback>
        </mc:AlternateContent>
      </w:r>
      <w:r>
        <w:rPr>
          <w:rFonts w:hint="eastAsia" w:ascii="ＭＳ ゴシック" w:hAnsi="ＭＳ ゴシック" w:eastAsia="ＭＳ ゴシック"/>
        </w:rPr>
        <w:t>　（単位：千円）</w:t>
      </w:r>
    </w:p>
    <w:p>
      <w:pPr>
        <w:pStyle w:val="0"/>
        <w:ind w:firstLine="1680" w:firstLineChars="700"/>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前期売上高</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当期売上高</w:t>
      </w:r>
    </w:p>
    <w:p>
      <w:pPr>
        <w:pStyle w:val="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pacing w:val="106"/>
          <w:kern w:val="0"/>
          <w:sz w:val="24"/>
          <w:fitText w:val="2500" w:id="1"/>
        </w:rPr>
        <w:t>全体の売上</w:t>
      </w:r>
      <w:r>
        <w:rPr>
          <w:rFonts w:hint="eastAsia" w:ascii="ＭＳ ゴシック" w:hAnsi="ＭＳ ゴシック" w:eastAsia="ＭＳ ゴシック"/>
          <w:kern w:val="0"/>
          <w:sz w:val="24"/>
          <w:fitText w:val="2500" w:id="1"/>
        </w:rPr>
        <w:t>高</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pacing w:val="106"/>
          <w:kern w:val="0"/>
          <w:sz w:val="24"/>
          <w:fitText w:val="2500" w:id="2"/>
        </w:rPr>
        <w:t>全体の売上</w:t>
      </w:r>
      <w:r>
        <w:rPr>
          <w:rFonts w:hint="eastAsia" w:ascii="ＭＳ ゴシック" w:hAnsi="ＭＳ ゴシック" w:eastAsia="ＭＳ ゴシック"/>
          <w:kern w:val="0"/>
          <w:sz w:val="24"/>
          <w:fitText w:val="2500" w:id="2"/>
        </w:rPr>
        <w:t>高</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（前頁表の指定業種の売上高）　　　　　　　（前頁表の指定業種の売上高）</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令和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千円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令和</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千円</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　　　　　　　千円）　　　　　　　　　　（　　　　　　　千円）</w:t>
      </w:r>
    </w:p>
    <w:p>
      <w:pPr>
        <w:pStyle w:val="0"/>
        <w:ind w:firstLine="240" w:firstLineChars="10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令和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千円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令和</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千円</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　　　　　　　千円）　　　　　　　　　　（　　　　　　　千円）</w:t>
      </w:r>
    </w:p>
    <w:p>
      <w:pPr>
        <w:pStyle w:val="0"/>
        <w:ind w:firstLine="240" w:firstLineChars="10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令和</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千円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令和</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千円</w:t>
      </w:r>
    </w:p>
    <w:p>
      <w:pPr>
        <w:pStyle w:val="0"/>
        <w:ind w:firstLine="240" w:firstLineChars="100"/>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　　　　　　　（　　　　　　　千円）</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　　　　　　　（　　　　　　　千円）</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合　計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【Ｄ】</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auto"/>
        </w:rPr>
        <w:t>千円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合　計　【Ｃ】</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auto"/>
        </w:rPr>
        <w:t>千円　</w:t>
      </w:r>
    </w:p>
    <w:p>
      <w:pPr>
        <w:pStyle w:val="0"/>
        <w:ind w:firstLine="240" w:firstLineChars="100"/>
        <w:rPr>
          <w:rFonts w:hint="default" w:ascii="ＭＳ ゴシック" w:hAnsi="ＭＳ ゴシック" w:eastAsia="ＭＳ ゴシック"/>
          <w:sz w:val="22"/>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【Ｂ】（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千円）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【Ａ】（　　　　　　　千円</w:t>
      </w:r>
      <w:r>
        <w:rPr>
          <w:rFonts w:hint="eastAsia" w:ascii="ＭＳ ゴシック" w:hAnsi="ＭＳ ゴシック" w:eastAsia="ＭＳ ゴシック"/>
          <w:sz w:val="22"/>
        </w:rPr>
        <w:t>）</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eastAsia" w:ascii="ＭＳ ゴシック" w:hAnsi="ＭＳ ゴシック" w:eastAsia="ＭＳ ゴシック"/>
          <w:sz w:val="21"/>
        </w:rPr>
        <w:t>※注　括弧内には売上高等が減少している指定業種の売上高を合算して記入してください。</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減少率　①全体の売上高に対する指定業種の売上高減少</w:t>
      </w:r>
    </w:p>
    <w:p>
      <w:pPr>
        <w:pStyle w:val="0"/>
        <w:ind w:firstLine="1250" w:firstLineChars="500"/>
        <w:rPr>
          <w:rFonts w:hint="default" w:ascii="ＭＳ ゴシック" w:hAnsi="ＭＳ ゴシック" w:eastAsia="ＭＳ ゴシック"/>
          <w:sz w:val="25"/>
        </w:rPr>
      </w:pPr>
      <w:r>
        <w:rPr>
          <w:rFonts w:hint="eastAsia" w:ascii="ＭＳ ゴシック" w:hAnsi="ＭＳ ゴシック" w:eastAsia="ＭＳ ゴシック"/>
          <w:sz w:val="25"/>
        </w:rPr>
        <w:t>（Ｂ－Ａ）÷Ｄ×１００＝　</w:t>
      </w:r>
      <w:r>
        <w:rPr>
          <w:rFonts w:hint="eastAsia" w:ascii="ＭＳ ゴシック" w:hAnsi="ＭＳ ゴシック" w:eastAsia="ＭＳ ゴシック"/>
          <w:b w:val="1"/>
          <w:sz w:val="25"/>
          <w:u w:val="thick" w:color="auto"/>
        </w:rPr>
        <w:t>▲　　　　　％</w:t>
      </w:r>
      <w:r>
        <w:rPr>
          <w:rFonts w:hint="eastAsia" w:ascii="ＭＳ ゴシック" w:hAnsi="ＭＳ ゴシック" w:eastAsia="ＭＳ ゴシック"/>
          <w:sz w:val="25"/>
        </w:rPr>
        <w:t>　≧　▲５．０％</w:t>
      </w:r>
    </w:p>
    <w:p>
      <w:pPr>
        <w:pStyle w:val="0"/>
        <w:ind w:firstLine="1000" w:firstLineChars="400"/>
        <w:rPr>
          <w:rFonts w:hint="default" w:ascii="ＭＳ ゴシック" w:hAnsi="ＭＳ ゴシック" w:eastAsia="ＭＳ ゴシック"/>
          <w:sz w:val="25"/>
        </w:rPr>
      </w:pPr>
      <w:r>
        <w:rPr>
          <w:rFonts w:hint="eastAsia" w:ascii="ＭＳ ゴシック" w:hAnsi="ＭＳ ゴシック" w:eastAsia="ＭＳ ゴシック"/>
          <w:kern w:val="0"/>
          <w:sz w:val="25"/>
        </w:rPr>
        <w:t>②全体の売上高</w:t>
      </w:r>
    </w:p>
    <w:p>
      <w:pPr>
        <w:pStyle w:val="0"/>
        <w:ind w:firstLine="1250" w:firstLineChars="500"/>
        <w:rPr>
          <w:rFonts w:hint="default" w:ascii="ＭＳ ゴシック" w:hAnsi="ＭＳ ゴシック" w:eastAsia="ＭＳ ゴシック"/>
          <w:kern w:val="0"/>
          <w:sz w:val="25"/>
        </w:rPr>
      </w:pPr>
      <w:r>
        <w:rPr>
          <w:rFonts w:hint="eastAsia" w:ascii="ＭＳ ゴシック" w:hAnsi="ＭＳ ゴシック" w:eastAsia="ＭＳ ゴシック"/>
          <w:sz w:val="25"/>
        </w:rPr>
        <w:t>（Ｄ－Ｃ）÷Ｄ×１００＝　</w:t>
      </w:r>
      <w:r>
        <w:rPr>
          <w:rFonts w:hint="eastAsia" w:ascii="ＭＳ ゴシック" w:hAnsi="ＭＳ ゴシック" w:eastAsia="ＭＳ ゴシック"/>
          <w:b w:val="1"/>
          <w:sz w:val="25"/>
          <w:u w:val="thick" w:color="auto"/>
        </w:rPr>
        <w:t>▲　　　　　％</w:t>
      </w:r>
      <w:r>
        <w:rPr>
          <w:rFonts w:hint="eastAsia" w:ascii="ＭＳ ゴシック" w:hAnsi="ＭＳ ゴシック" w:eastAsia="ＭＳ ゴシック"/>
          <w:sz w:val="25"/>
        </w:rPr>
        <w:t>　≧　▲５．０％</w:t>
      </w:r>
    </w:p>
    <w:p>
      <w:pPr>
        <w:pStyle w:val="0"/>
        <w:rPr>
          <w:rFonts w:hint="default" w:ascii="ＭＳ ゴシック" w:hAnsi="ＭＳ ゴシック" w:eastAsia="ＭＳ ゴシック"/>
          <w:sz w:val="25"/>
        </w:rPr>
      </w:pPr>
    </w:p>
    <w:p>
      <w:pPr>
        <w:pStyle w:val="0"/>
        <w:ind w:leftChars="0" w:firstLine="0" w:firstLineChars="0"/>
        <w:rPr>
          <w:rFonts w:hint="default" w:ascii="ＭＳ ゴシック" w:hAnsi="ＭＳ ゴシック" w:eastAsia="ＭＳ ゴシック"/>
        </w:rPr>
      </w:pPr>
    </w:p>
    <w:p>
      <w:pPr>
        <w:pStyle w:val="0"/>
        <w:ind w:left="945" w:leftChars="450" w:firstLine="250" w:firstLineChars="100"/>
        <w:rPr>
          <w:rFonts w:hint="default" w:ascii="ＭＳ ゴシック" w:hAnsi="ＭＳ ゴシック" w:eastAsia="ＭＳ ゴシック"/>
          <w:sz w:val="25"/>
        </w:rPr>
      </w:pPr>
    </w:p>
    <w:p>
      <w:pPr>
        <w:pStyle w:val="0"/>
        <w:ind w:leftChars="0" w:firstLineChars="0"/>
        <w:rPr>
          <w:rFonts w:hint="default" w:ascii="ＭＳ ゴシック" w:hAnsi="ＭＳ ゴシック" w:eastAsia="ＭＳ ゴシック"/>
          <w:sz w:val="25"/>
        </w:rPr>
      </w:pPr>
    </w:p>
    <w:p>
      <w:pPr>
        <w:pStyle w:val="0"/>
        <w:ind w:left="945" w:leftChars="450" w:firstLine="250" w:firstLineChars="100"/>
        <w:rPr>
          <w:rFonts w:hint="default" w:ascii="ＭＳ ゴシック" w:hAnsi="ＭＳ ゴシック" w:eastAsia="ＭＳ ゴシック"/>
          <w:sz w:val="25"/>
        </w:rPr>
      </w:pPr>
    </w:p>
    <w:p>
      <w:pPr>
        <w:pStyle w:val="0"/>
        <w:ind w:left="945" w:leftChars="450"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令和　　年　　月　　日</w:t>
      </w:r>
    </w:p>
    <w:p>
      <w:pPr>
        <w:pStyle w:val="0"/>
        <w:ind w:left="945" w:leftChars="450"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上記のとおり相違ありません。</w:t>
      </w:r>
    </w:p>
    <w:p>
      <w:pPr>
        <w:pStyle w:val="0"/>
        <w:ind w:left="945" w:leftChars="450" w:firstLine="250" w:firstLineChars="100"/>
        <w:rPr>
          <w:rFonts w:hint="default" w:ascii="ＭＳ ゴシック" w:hAnsi="ＭＳ ゴシック" w:eastAsia="ＭＳ ゴシック"/>
          <w:sz w:val="25"/>
        </w:rPr>
      </w:pPr>
    </w:p>
    <w:p>
      <w:pPr>
        <w:pStyle w:val="0"/>
        <w:ind w:left="945" w:leftChars="450" w:firstLine="3500" w:firstLineChars="1400"/>
        <w:jc w:val="left"/>
        <w:rPr>
          <w:rFonts w:hint="default" w:ascii="ＭＳ ゴシック" w:hAnsi="ＭＳ ゴシック" w:eastAsia="ＭＳ ゴシック"/>
          <w:sz w:val="25"/>
        </w:rPr>
      </w:pPr>
      <w:r>
        <w:rPr>
          <w:rFonts w:hint="eastAsia" w:ascii="ＭＳ ゴシック" w:hAnsi="ＭＳ ゴシック" w:eastAsia="ＭＳ ゴシック"/>
          <w:sz w:val="25"/>
        </w:rPr>
        <w:t>住　　所　</w:t>
      </w:r>
    </w:p>
    <w:p>
      <w:pPr>
        <w:pStyle w:val="0"/>
        <w:ind w:left="945" w:leftChars="450" w:firstLine="3500" w:firstLineChars="1400"/>
        <w:jc w:val="left"/>
        <w:rPr>
          <w:rFonts w:hint="default" w:ascii="ＭＳ ゴシック" w:hAnsi="ＭＳ ゴシック" w:eastAsia="ＭＳ ゴシック"/>
          <w:sz w:val="25"/>
        </w:rPr>
      </w:pPr>
      <w:r>
        <w:rPr>
          <w:rFonts w:hint="eastAsia" w:ascii="ＭＳ ゴシック" w:hAnsi="ＭＳ ゴシック" w:eastAsia="ＭＳ ゴシック"/>
          <w:sz w:val="25"/>
        </w:rPr>
        <w:t>会</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社</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名　</w:t>
      </w:r>
    </w:p>
    <w:p>
      <w:pPr>
        <w:pStyle w:val="0"/>
        <w:ind w:left="945" w:leftChars="450"/>
        <w:jc w:val="left"/>
        <w:rPr>
          <w:rFonts w:hint="default" w:ascii="ＭＳ ゴシック" w:hAnsi="ＭＳ ゴシック" w:eastAsia="ＭＳ ゴシック"/>
        </w:rPr>
      </w:pPr>
      <w:r>
        <w:rPr>
          <w:rFonts w:hint="eastAsia" w:ascii="ＭＳ ゴシック" w:hAnsi="ＭＳ ゴシック" w:eastAsia="ＭＳ ゴシック"/>
          <w:sz w:val="25"/>
        </w:rPr>
        <w:t>　　　　　　　　　　　　　　</w:t>
      </w:r>
      <w:r>
        <w:rPr>
          <w:rFonts w:hint="eastAsia" w:ascii="ＭＳ ゴシック" w:hAnsi="ＭＳ ゴシック" w:eastAsia="ＭＳ ゴシック"/>
          <w:sz w:val="25"/>
          <w:u w:val="single" w:color="auto"/>
        </w:rPr>
        <w:t>代表者名　　　　　　　　　　　　　　</w:t>
      </w:r>
      <w:bookmarkStart w:id="0" w:name="_GoBack"/>
      <w:bookmarkEnd w:id="0"/>
    </w:p>
    <w:p>
      <w:pPr>
        <w:pStyle w:val="0"/>
        <w:rPr>
          <w:rFonts w:hint="default"/>
        </w:rPr>
      </w:pPr>
    </w:p>
    <w:sectPr>
      <w:pgSz w:w="11906" w:h="16838"/>
      <w:pgMar w:top="737" w:right="1134" w:bottom="737"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Century" w:hAnsi="Century"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Century" w:hAnsi="Century" w:eastAsia="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rFonts w:ascii="Century" w:hAnsi="Century" w:eastAsia="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Century" w:hAnsi="Century" w:eastAsia="ＭＳ 明朝"/>
      <w:b w:val="1"/>
      <w:kern w:val="2"/>
      <w:sz w:val="21"/>
    </w:rPr>
  </w:style>
  <w:style w:type="character" w:styleId="27">
    <w:name w:val="page number"/>
    <w:next w:val="27"/>
    <w:link w:val="0"/>
    <w:uiPriority w:val="0"/>
    <w:rPr/>
  </w:style>
  <w:style w:type="paragraph" w:styleId="28">
    <w:name w:val="List Paragraph"/>
    <w:basedOn w:val="0"/>
    <w:next w:val="28"/>
    <w:link w:val="0"/>
    <w:uiPriority w:val="0"/>
    <w:pPr>
      <w:ind w:left="840" w:leftChars="400"/>
    </w:pPr>
  </w:style>
  <w:style w:type="paragraph" w:styleId="29">
    <w:name w:val="Date"/>
    <w:basedOn w:val="0"/>
    <w:next w:val="0"/>
    <w:link w:val="30"/>
    <w:uiPriority w:val="0"/>
  </w:style>
  <w:style w:type="character" w:styleId="30" w:customStyle="1">
    <w:name w:val="日付 (文字)"/>
    <w:next w:val="30"/>
    <w:link w:val="29"/>
    <w:uiPriority w:val="0"/>
    <w:rPr>
      <w:rFonts w:ascii="Century" w:hAnsi="Century" w:eastAsia="ＭＳ 明朝"/>
      <w:kern w:val="2"/>
      <w:sz w:val="21"/>
    </w:rPr>
  </w:style>
  <w:style w:type="paragraph" w:styleId="31">
    <w:name w:val="Plain Text"/>
    <w:basedOn w:val="0"/>
    <w:next w:val="31"/>
    <w:link w:val="32"/>
    <w:uiPriority w:val="0"/>
    <w:pPr>
      <w:jc w:val="left"/>
    </w:pPr>
    <w:rPr>
      <w:rFonts w:ascii="ＭＳ ゴシック" w:hAnsi="ＭＳ ゴシック" w:eastAsia="ＭＳ ゴシック"/>
      <w:sz w:val="20"/>
    </w:rPr>
  </w:style>
  <w:style w:type="character" w:styleId="32" w:customStyle="1">
    <w:name w:val="書式なし (文字)"/>
    <w:next w:val="32"/>
    <w:link w:val="31"/>
    <w:uiPriority w:val="0"/>
    <w:rPr>
      <w:rFonts w:ascii="ＭＳ ゴシック" w:hAnsi="ＭＳ ゴシック" w:eastAsia="ＭＳ ゴシック"/>
      <w:kern w:val="2"/>
    </w:rPr>
  </w:style>
  <w:style w:type="paragraph" w:styleId="33">
    <w:name w:val="Note Heading"/>
    <w:basedOn w:val="0"/>
    <w:next w:val="0"/>
    <w:link w:val="34"/>
    <w:uiPriority w:val="0"/>
    <w:pPr>
      <w:jc w:val="center"/>
    </w:pPr>
    <w:rPr>
      <w:rFonts w:ascii="ＭＳ ゴシック" w:hAnsi="ＭＳ ゴシック" w:eastAsia="ＭＳ ゴシック"/>
      <w:color w:val="000000"/>
      <w:kern w:val="0"/>
    </w:rPr>
  </w:style>
  <w:style w:type="character" w:styleId="34" w:customStyle="1">
    <w:name w:val="記 (文字)"/>
    <w:next w:val="34"/>
    <w:link w:val="33"/>
    <w:uiPriority w:val="0"/>
    <w:rPr>
      <w:rFonts w:ascii="ＭＳ ゴシック" w:hAnsi="ＭＳ ゴシック" w:eastAsia="ＭＳ ゴシック"/>
      <w:color w:val="000000"/>
      <w:sz w:val="21"/>
    </w:rPr>
  </w:style>
  <w:style w:type="paragraph" w:styleId="35">
    <w:name w:val="Closing"/>
    <w:basedOn w:val="0"/>
    <w:next w:val="35"/>
    <w:link w:val="36"/>
    <w:uiPriority w:val="0"/>
    <w:pPr>
      <w:jc w:val="right"/>
    </w:pPr>
    <w:rPr>
      <w:rFonts w:ascii="ＭＳ ゴシック" w:hAnsi="ＭＳ ゴシック" w:eastAsia="ＭＳ ゴシック"/>
      <w:color w:val="000000"/>
      <w:kern w:val="0"/>
    </w:rPr>
  </w:style>
  <w:style w:type="character" w:styleId="36" w:customStyle="1">
    <w:name w:val="結語 (文字)"/>
    <w:next w:val="36"/>
    <w:link w:val="35"/>
    <w:uiPriority w:val="0"/>
    <w:rPr>
      <w:rFonts w:ascii="ＭＳ ゴシック" w:hAnsi="ＭＳ ゴシック" w:eastAsia="ＭＳ ゴシック"/>
      <w:color w:val="000000"/>
      <w:sz w:val="21"/>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2</Words>
  <Characters>1145</Characters>
  <Application>JUST Note</Application>
  <Lines>98</Lines>
  <Paragraphs>61</Paragraphs>
  <Company>金沢市</Company>
  <CharactersWithSpaces>1946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kndp</dc:creator>
  <cp:lastModifiedBy>水野 夢野</cp:lastModifiedBy>
  <cp:lastPrinted>2014-08-30T07:07:00Z</cp:lastPrinted>
  <dcterms:created xsi:type="dcterms:W3CDTF">2019-08-28T01:43:00Z</dcterms:created>
  <dcterms:modified xsi:type="dcterms:W3CDTF">2024-09-11T01:59:15Z</dcterms:modified>
  <cp:revision>5</cp:revision>
</cp:coreProperties>
</file>